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204/2009 vom 27. August 2009</w:t>
      </w:r>
    </w:p>
    <w:p>
      <w:r>
        <w:t>Bundesgericht, 2009-08-27, FR</w:t>
      </w:r>
    </w:p>
    <w:p>
      <w:r>
        <w:rPr>
          <w:b/>
        </w:rPr>
        <w:t xml:space="preserve">Quelle: </w:t>
      </w:r>
      <w:r>
        <w:t>https://mcp.opencaselaw.ch/entscheid/bger_8C_204_2009</w:t>
      </w:r>
    </w:p>
    <w:p>
      <w:r>
        <w:t>FR: TF 8C 204/2009 du 27 août 2009</w:t>
      </w:r>
    </w:p>
    <w:p>
      <w:r>
        <w:t>IT: TF 8C 204/2009 del 27 agosto 2009</w:t>
      </w:r>
    </w:p>
    <w:p>
      <w:pPr>
        <w:pStyle w:val="Heading2"/>
      </w:pPr>
      <w:r>
        <w:t>Regeste</w:t>
      </w:r>
    </w:p>
    <w:p>
      <w:r>
        <w:t>Assurance-chômage | Assurance-chômage</w:t>
      </w:r>
    </w:p>
    <w:p>
      <w:pPr>
        <w:pStyle w:val="Heading2"/>
      </w:pPr>
      <w:r>
        <w:t>Erwägungen</w:t>
      </w:r>
    </w:p>
    <w:p>
      <w:r>
        <w:rPr>
          <w:b/>
        </w:rPr>
        <w:t>E. 1</w:t>
      </w:r>
    </w:p>
    <w:p>
      <w:r>
        <w:t>Le litige porte sur le droit du recourant à des indemnités journalières de chômage, plus précisément sur le point de savoir s'il faut nier ce droit en raison des liens entre l'assuré et son dernier employeur.</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 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3.1</w:t>
      </w:r>
    </w:p>
    <w:p>
      <w:r>
        <w:t>Les travailleurs dont la durée normale du travail est réduite ou l'activité suspendue ont droit à l'indemnité en cas de réduction de l'horaire de travail lorsqu'ils remplissent les conditions décrites aux lettres a à d de l' art. 31 al. 1 LACI . Une réduction de l'horaire de travail peut consister non seulement en une réduction de la durée quotidienne, hebdomadaire ou mensuelle du travail, mais aussi en une cessation d'activité pour une certaine période, sans résiliation des rapports de travail ( ATF 123 V 234 consid. 7b/bb p. 237). N'ont pas droit à l'indemnité en question les travailleurs dont la réduction de l'horaire de travail ne peut pas être déterminée ou dont l'horaire n'est pas suffisamment contrôlable ( art. 31 al. 3 let. a LACI ),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w:t>
      </w:r>
    </w:p>
    <w:p>
      <w:r>
        <w:rPr>
          <w:b/>
        </w:rPr>
        <w:t>E. 3.2</w:t>
      </w:r>
    </w:p>
    <w:p>
      <w:r>
        <w:t>La jurisprudence considère, par ailleurs, qu'un travailleur qui jouit d'une situation comparable à celle d'un employeur - ou son conjoint -, n'a pas droit à l'indemnité de chômage ( art. 8 ss LACI )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 art. 31 al. 3 let . c LACI. Dans ce sens, il existe un étroit parallélisme entre le droit à l'indemnité en cas de réduction de l'horaire de travail et le droit à l'indemnité journalière de chômage ( ATF 123 V 234 cité).</w:t>
      </w:r>
    </w:p>
    <w:p>
      <w:r>
        <w:rPr>
          <w:b/>
        </w:rPr>
        <w:t>E. 4</w:t>
      </w:r>
    </w:p>
    <w:p>
      <w:r>
        <w:t>A teneur de l' art. 112 al. 1 let. b LTF , les décisions qui peuvent faire l'objet d'un recours devant le Tribunal fédéral doivent contenir les motifs déterminants de fait et de droit. Il résulte de cette norme que ces décisions doivent indiquer clairement les faits qui sont établis et les déductions juridiques qui sont tirées de l'état de fait déterminant. Savoir quels sont les faits déterminants revêt une importance particulière dans la mesure où le Tribunal fédéral est en principe lié par ceux arrêtés par la dernière instance cantonale. Un état de fait insuffisant empêche l'application des règles de droit pertinentes à la cause. Un tel manquement constitue donc une violation du droit. Si une décision attaquée ne satisfait pas aux exigences fixées à l' art. 112 al. 1 LTF , le Tribunal fédéral peut soit la renvoyer l'autorité cantonale en invitant celle-ci à la parfaire, soit l'annuler ( art. 112 al. 3 LTF ; ATF 135 II 145 consid. 8.2 p. 153).</w:t>
      </w:r>
    </w:p>
    <w:p>
      <w:r>
        <w:rPr>
          <w:b/>
        </w:rPr>
        <w:t>E. 5</w:t>
      </w:r>
    </w:p>
    <w:p>
      <w:r>
        <w:t>Selon les constatations des premiers juges, X.________ est une entreprise en raison individuelle inscrite au nom de Y.________, qui a engagé le recourant en qualité de directeur administratif. Les premiers juges ont attribué une importance décisive au fait que Y.________ a informé la caisse le 4 décembre 2007 que son comptable était absent. Ils en déduisent que le recourant, «seul comptable de la société», continuait à exercer des fonctions de directeur administratif et qu'il «jouait un rôle dans la prise de décision». La déclaration prêtée à Y.________ résulte d'un entretien téléphonique que celui-ci a eu avec un employé de la caisse. Cet entretien fait l'objet d'une brève note interne, au demeurant non signée, qui n'est pas toutefois suffisante pour en conclure que le recourant continuait à exercer des fonctions au service de l'entreprise. Elle ne conduit du reste pas nécessairement à la conclusion que le comptable déclaré absent était le recourant lui-même, dont le nom n'est pas mentionné dans la notice. Il pouvait par exemple s'agir d'un comptable externe à la société. Il n'est pas exclu au demeurant que l'employeur ait voulu donner un prétexte pour ne pas fournir les documents requis par la caisse dans le délai imparti. Les premiers juges voient par ailleurs un indice que le recourant avait conservé un pouvoir décisionnel dans le fait que l'entreprise ne comptait que trois collaborateurs, à savoir deux apprentis et le recourant. Mais le seul fait d'avoir un pouvoir décisionnel plus ou moins étendu ne suffit pas pour admettre l'existence d'une position analogue à celle d'un employeur. La jurisprudence susmentionnée ne saurait être comprise en ce sens que l'exercice de responsabilités au sein d'une entreprise conduit de facto à nier le droit à l'indemnité de chômage en cas de licenciement. Dans ce contexte, il n'eût sans doute pas été inutile d'entendre Y.________ et éventuellement aussi les deux apprentis de l'entreprise.</w:t>
      </w:r>
    </w:p>
    <w:p>
      <w:r>
        <w:rPr>
          <w:b/>
        </w:rPr>
        <w:t>E. 6</w:t>
      </w:r>
    </w:p>
    <w:p>
      <w:r>
        <w:t>Les éléments indispensables pour décider si le recourant occupait ou non une fonction analogue à celle d'un employeur ou s'il a véritablement continué à travailler au service de l'entreprise après son licenciement font défaut. Le Tribunal fédéral n'est pas en mesure de statuer. Il y a dès lors lieu de constater que la décision attaquée ne contient pas les motifs déterminants de fait et de droit requis par l' art. 112 al. 1 let. b LTF , si bien qu'elle doit être annulée et que la cause doit être renvoyée à l'autorité cantonale.</w:t>
      </w:r>
    </w:p>
    <w:p>
      <w:r>
        <w:rPr>
          <w:b/>
        </w:rPr>
        <w:t>E. 7</w:t>
      </w:r>
    </w:p>
    <w:p>
      <w:r>
        <w:t>Les vices de la décision étant imputables au Tribunal des assurances, il convient de rendre l'arrêt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