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203/2020 vom 25. August 2020</w:t>
      </w:r>
    </w:p>
    <w:p>
      <w:r>
        <w:t>Bundesgericht, 2020-08-25, FR</w:t>
      </w:r>
    </w:p>
    <w:p>
      <w:r>
        <w:rPr>
          <w:b/>
        </w:rPr>
        <w:t xml:space="preserve">Quelle: </w:t>
      </w:r>
      <w:r>
        <w:t>https://mcp.opencaselaw.ch/entscheid/bger_8C_203_2020</w:t>
      </w:r>
    </w:p>
    <w:p>
      <w:r>
        <w:t>FR: TF 8C 203/2020 du 25 août 2020</w:t>
      </w:r>
    </w:p>
    <w:p>
      <w:r>
        <w:t>IT: TF 8C 203/2020 del 25 agosto 2020</w:t>
      </w:r>
    </w:p>
    <w:p>
      <w:pPr>
        <w:pStyle w:val="Heading2"/>
      </w:pPr>
      <w:r>
        <w:t>Regeste</w:t>
      </w:r>
    </w:p>
    <w:p>
      <w:r>
        <w:t>Droit de la fonction publique (révocation disciplinaire) | Fonction publique</w:t>
      </w:r>
    </w:p>
    <w:p>
      <w:pPr>
        <w:pStyle w:val="Heading2"/>
      </w:pPr>
      <w:r>
        <w:t>Erwägungen</w:t>
      </w:r>
    </w:p>
    <w:p>
      <w:r>
        <w:rPr>
          <w:b/>
        </w:rPr>
        <w:t>E. 1</w:t>
      </w:r>
    </w:p>
    <w:p>
      <w:r>
        <w:t>Le jugement entrepris a été rendu en matière de rapports de travail de droit public. Dans la mesure où le litige porte sur la fin de tels rapports, il s'agit d'une contestation de nature pécuniaire (arrêt 8C_448/2012 du 17 janvier 2013 consid. 1.1, non publié in ATF 139 II 7 ) et le motif d'exclusion de l' art. 83 let . g LTF n'entre pas en considération. La valeur litigieuse dépasse par ailleurs largement le seuil de 15'000 fr. ouvrant la voie du recours en matière de droit public en ce domaine (art. 51 al. 2 et 85 al. 1 let. b LTF). 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il en va de même d'une décision cantonale qui oblige la collectivité à réintégrer un employé ( ATF 142 II 259 consid. 4.1 p. 261; 134 I 204 consid. 2.3 p. 207 et les références). Pour le surplus, interjeté en temps utile et dans les formes requises contre une décision finale prise par un tribunal supérieur statuant en dernière instance cantonale, le recours respecte les exigences des art. 42, 86 al. 1 let . d, 90 et 100 al. 1 LTF. Il sied ainsi d'entrer en matière.</w:t>
      </w:r>
    </w:p>
    <w:p>
      <w:r>
        <w:rPr>
          <w:b/>
        </w:rPr>
        <w:t>E. 2.1</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rPr>
          <w:b/>
        </w:rPr>
        <w:t>E. 2.2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w:t>
      </w:r>
    </w:p>
    <w:p>
      <w:r>
        <w:rPr>
          <w:b/>
        </w:rPr>
        <w:t>E. 2.3</w:t>
      </w:r>
    </w:p>
    <w:p>
      <w:r>
        <w:t>Le principe de la légalité, consacré à l' art. 5 al. 1 Cst. , ne constitue pas un droit constitutionnel distinct, mais uniquement, à l'instar du principe de la proportionnalité ancré à l' art. 5 al. 2 Cst. , un principe constitutionnel. Le recours en matière de droit public permet de se plaindre de la violation d'un tel principe directement et indépendamment d'un droit fondamental.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 ATF 134 I 153 consid. 4 p. 156 ss; arrêt 2C_613/2017 du 16 avril 2018 consid. 3.2).</w:t>
      </w:r>
    </w:p>
    <w:p>
      <w:r>
        <w:rPr>
          <w:b/>
        </w:rPr>
        <w:t>E. 3</w:t>
      </w:r>
    </w:p>
    <w:p>
      <w:r>
        <w:t>Le litige porte sur le point de savoir si la cour cantonale a fait preuve d'arbitraire dans l'application du droit cantonal en considérant que l'annulation de la décision révoquant l'intimé de ses fonctions entraînait la réintégration obligatoire de ce dernier.</w:t>
      </w:r>
    </w:p>
    <w:p>
      <w:r>
        <w:rPr>
          <w:b/>
        </w:rPr>
        <w:t>E. 3.1</w:t>
      </w:r>
    </w:p>
    <w:p>
      <w:r>
        <w:t>La cour cantonale a exposé que les rapports de service de l'intimé, en sa qualité de fonctionnaire de l'administration cantonale, étaient soumis à la loi générale relative au personnel de l'administration cantonale, du pouvoir judiciaire et des établissements publics médicaux du 4 décembre 1997 (LPAC; RS/GE B 5 05). Sous l'empire des anciennes dispositions de la LPAC, en vigueur jusqu'au 18 décembre 2015 (ci-après: aLPAC), si une révocation était jugée contraire au droit, en raison d'une absence de violation des devoirs de service, la réintégration était imposée à l'employeur, même si la relation d'emploi avait pris fin; en revanche, lorsque la révocation était jugée disproportionnée, la réintégration ne pouvait être que proposée. Cela résultait de l'art. 30 al. 3 aLPAC en relation avec l'art. 31 al. 2 aLPAC. Or depuis lors, l'art. 30 al. 3 aLPAC qui prévoyait ce mécanisme avait été abrogé, ce qui avait pour conséquence que la réintégration pouvait désormais être ordonnée aussi lorsqu'elle s'avérait disproportionnée. En effet, il ressortait des travaux préparatoires que l'un des buts de la nouvelle LPAC était de rendre obligatoire la réintégration non seulement en cas de révocation prononcée en l'absence de violation des devoirs de service, mais aussi lorsque la révocation s'avérait contraire au principe de la proportionnalité, soit dans les cas où les manquements qui pouvaient être retenus à l'encontre du fonctionnaire ne justifiaient pas une sanction aussi sévère. Il s'ensuivait qu'en l'espèce, l'annulation de la décision de révocation du 30 mai 2018 avait pour conséquence la réintégration de l'intimé dans sa fonction d'inspecteur du travail ou, à défaut, dans un autre poste.</w:t>
      </w:r>
    </w:p>
    <w:p>
      <w:r>
        <w:rPr>
          <w:b/>
        </w:rPr>
        <w:t>E. 3.2</w:t>
      </w:r>
    </w:p>
    <w:p>
      <w:r>
        <w:t>La recourante reproche à la cour cantonale d'avoir fait une application arbitraire des art. 30 et 31 LPAC. Elle fait valoir que depuis le 19 décembre 2015, l'art. 30 LPAC, dont l'al. 3 a été abrogé, ne prévoit plus les conséquences pour le cas où la chambre administrative constate que la révocation a été prononcée en l'absence de toute violation des devoirs de service ou qu'une telle sanction est disproportionnée; partant, la réintégration de l'intimé ne trouverait aucun fondement dans la LPAC et violerait le principe de la légalité. L'arrêt entrepris violerait en outre l'interdiction de l'arbitraire en tant que la chambre administrative aurait effectué un revirement injustifié de sa jurisprudence constante; en effet, depuis le 19 décembre 2015, elle aurait toujours affirmé que les art. 30 et 31 LPAC dans leur nouvelle teneur ne lui permettaient pas d'ordonner la réintégration d'un fonctionnaire révoqué (décisions de la chambre administrative ATA/1000/2016 du 28 novembre 2016 consid. 10; ATA/826/2018 du 15 août 2018 consid. 10; ATA/1013/2018 du 1er octobre 2018 p. 3; ATA/1559/2019 du 21 octobre 2019 p. 3; ATA/15/2020 du 8 janvier 2020 p. 3).</w:t>
      </w:r>
    </w:p>
    <w:p>
      <w:r>
        <w:rPr>
          <w:b/>
        </w:rPr>
        <w:t>E. 3.3.1</w:t>
      </w:r>
    </w:p>
    <w:p>
      <w:r>
        <w:t>Comme le rappelle la recourante elle-même, il peut être mis fin aux rapports de service d'un fonctionnaire de l'administration cantonale genevoise soit par la voie de la révocation, qui est la sanction disciplinaire la plus lourde prévue par la loi ( art. 16 al. 1 let . c 5° LPAC) et implique une violation grave ou continue des devoirs de service, soit par la voie de la résiliation pour motif fondé, qui implique que la continuation des rapports de service ne soit plus compatible avec le bon fonctionnement de l'administration (art. 21 al. 3 et 22 LPAC) (cf. arrêt 8C_203/2010 du 1er mars 2011 consid. 3.5 et les références). Le recours contre une sanction disciplinaire est régi par l'art. 30 LPAC et celui contre une décision de résiliation des rapports de service par l'art. 31 LPAC. L'art. 30 LPAC dispose à son al. 2 que le membre du personnel qui fait l'objet d'une sanction disciplinaire peut recourir à la chambre administrative de la Cour de justice; il disposait auparavant à son al. 3 - abrogé avec effet au 19 décembre 2015 - qu'en cas de révocation, l'art. 31 s'applique, sauf si la chambre administrative de la Cour de justice constate l'absence de violation des devoirs de service. Ce renvoi à l'art. 31 aLPAC - lequel prévoyait que si la chambre administrative de la Cour de justice retient que la résiliation des rapports de service est contraire au droit, elle peut proposer à l'autorité compétente la réintégration (al. 2) et qu'en cas de décision négative de l'autorité compétente, elle fixe une indemnité dont le montant ne peut être inférieur à 1 mois et supérieur à 24 mois (respectivement à 6 mois s'il s'agit d'un employé) du dernier traitement brut à l'exclusion de tout autre élément de rémunération (al. 3) - impliquait que la chambre administrative, lorsqu'elle retenait que la résiliation des rapports de service était contraire au droit, pouvait seulement proposer à l'autorité compétente la réintégration, sauf si elle constatait l'absence de violation des devoirs de service (FRANÇOIS BELLANGER, Le contentieux des sanctions et des licenciements en droit genevois de la fonction publique, in THIERRY TANQUEREL / FRANÇOIS BELLANGER, Les réformes de la fonction publique, 2012, p. 226).</w:t>
      </w:r>
    </w:p>
    <w:p>
      <w:r>
        <w:rPr>
          <w:b/>
        </w:rPr>
        <w:t>E. 3.3.2</w:t>
      </w:r>
    </w:p>
    <w:p>
      <w:r>
        <w:t>La LPAC a été révisée avec effet au 19 décembre 2015 (loi du 16 octobre 2015 modifiant la LPAC, publiée dans la Feuille d'avis officielle du 18 décembre 2015). L'art. 30 al. 3 aLPAC a été abrogé et l'art. 31 LPAC - dont l'al. 3 correspond à l'ancien al. 2 - prévoit désormais à son al. 2 que si la chambre administrative de la Cour de justice retient que la résiliation des rapports de service ne repose pas sur un motif fondé, elle ordonne à l'autorité compétente la réintégration. Selon le Rapport de la Commission ad hoc sur le personnel de l'État chargée d'étudier le projet de loi modifiant la LPAC, les amendements proposés - qui se sont traduits par les modifications précitées des art. 30 et 31 LPAC - "opèrent une distinction entre trois situations: le licenciement prononcé en l'absence de motif fondé; le licenciement prononcé en violation des règles de procédure; la révocation disproportionnée. Les conséquences attachées à chacun de ces manquements varient. Seuls le licenciement infondé et la révocation disproportionnée donneraient lieu à une réintégration obligatoire. Le licenciement fondé mais décidé en violation de règles de forme ne pourrait entraîner qu'une proposition de réintégration avec le versement d'une indemnité en cas de refus de l'employeur. (...) Concernant la révocation disproportionnée, il convient de préciser qu'il s'agit d'une décision infamante s'il en est. Une telle sanction ne peut être prise qu'après examen par un enquêteur. Ainsi, si l'administration, nonobstant le rapport d'enquête, décide de révoquer un fonctionnaire qui ne le mérite pas, elle devra supporter seule les conséquences de son erreur. Le fonctionnaire injustement traité devra voir la révocation annulée et être réintégré" (Rapport de la commission, PL 7526-F, p. 20-21).</w:t>
      </w:r>
    </w:p>
    <w:p>
      <w:r>
        <w:rPr>
          <w:b/>
        </w:rPr>
        <w:t>E. 3.3.3</w:t>
      </w:r>
    </w:p>
    <w:p>
      <w:r>
        <w:t>Au vu de ces éléments, il n'apparaît nullement insoutenable de considérer, comme l'a fait la cour cantonale, que l'annulation de la révocation d'un fonctionnaire au motif qu'une telle sanction est disproportionnée entraîne ex lege la réintégration de l'intéressé. En effet, en l'absence de disposition spéciale telle que l'art. 31 al. 2 LPAC - qui s'applique à la résiliation des rapports de service pour motif fondé, lorsque le licenciement est fondé mais a été décidé en violation de règles de forme (cf. consid. 3.3.2 supra) -, la chambre administrative peut annuler la décision de révocation, conformément à l'art. 69 al. 3 de la loi cantonale sur la procédure administrative du 12 septembre 1985 (LPA; RS/GE E 5 10), qui s'applique par renvoi de l'art. 32 al. 7 LPAC et prévoit que si la juridiction administrative admet le recours, elle réforme la décision attaquée ou l'annule. Or l'annulation de la décision de révocation implique que cette décision ne déploie plus d'effets, de sorte que le fonctionnaire concerné reste membre de l'administration cantonale.</w:t>
      </w:r>
    </w:p>
    <w:p>
      <w:r>
        <w:rPr>
          <w:b/>
        </w:rPr>
        <w:t>E. 3.3.4</w:t>
      </w:r>
    </w:p>
    <w:p>
      <w:r>
        <w:t>Par ailleurs, il n'apparaît pas que le jugement attaqué serait constitutif d'un revirement de jurisprudence violant le droit à l'égalité et l'interdiction de l'arbitraire (cf. ATF 122 I 57 consid. 3c/aa et les références). En effet, comme le relève la cour cantonale dans ses déterminations, les cinq décisions citées par la recourante (consultables sur le site internet http://ge.ch/justice/dans-la-jurisprudence) sont toutes des décisions sur effet suspensif, prononcées par un juge unique ( art. 21 al. 2 LPA ); la présente cause est la première, depuis la modification de la LPAC entrée en vigueur le 19 décembre 2015, dans laquelle la chambre administrative a analysé sur le fond les conséquences d'une révocation disproportionnée dans sa composition ordinaire à cinq juges lorsqu'elle connaît des décisions du Conseil d'État (art. 131 al. 2 let. b de la loi cantonale sur l'organisation judiciaire du 26 septembre 2010 [LOJ; RS/GE E 2 05]).</w:t>
      </w:r>
    </w:p>
    <w:p>
      <w:r>
        <w:rPr>
          <w:b/>
        </w:rPr>
        <w:t>E. 4</w:t>
      </w:r>
    </w:p>
    <w:p>
      <w:r>
        <w:t>Il s'ensuit que le recours se révèle mal fondé et doit être rejeté, ce qui rend sans objet la requête d'effet suspensif. La recourante, qui succombe, supportera les frais judiciaires ( art. 66 al. 1 LTF ). Elle versera en outre à l'intimé une indemnité à titre de dépens ( art. 68 al. 1 et 2 LTF ). A cet égard, le montant réclamé par l'intimé apparaît excessif compte tenu du tarif horaire appliqué, de la connaissance préalable du dossier par l'avocat et de l'ampleur de la réponse, de sorte qu'il n'y a pas lieu de s'écarter du montant usuellement alloué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