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202/2018 vom 16. August 2018</w:t>
      </w:r>
    </w:p>
    <w:p>
      <w:r>
        <w:t>Bundesgericht, 2018-08-16, FR</w:t>
      </w:r>
    </w:p>
    <w:p>
      <w:r>
        <w:rPr>
          <w:b/>
        </w:rPr>
        <w:t xml:space="preserve">Quelle: </w:t>
      </w:r>
      <w:r>
        <w:t>https://mcp.opencaselaw.ch/entscheid/bger_8C_202_2018</w:t>
      </w:r>
    </w:p>
    <w:p>
      <w:r>
        <w:t>FR: TF 8C 202/2018 du 16 août 2018</w:t>
      </w:r>
    </w:p>
    <w:p>
      <w:r>
        <w:t>IT: TF 8C 202/2018 del 16 agosto 2018</w:t>
      </w:r>
    </w:p>
    <w:p>
      <w:pPr>
        <w:pStyle w:val="Heading2"/>
      </w:pPr>
      <w:r>
        <w:t>Regeste</w:t>
      </w:r>
    </w:p>
    <w:p>
      <w:r>
        <w:t>Assurance-accidents (maladie professionnelle)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Selon l' art. 6 al. 1 LAA , les prestations d'assurance sont allouées en cas d'accident professionnel, d'accident non professionnel et de maladie professionnelle.</w:t>
      </w:r>
    </w:p>
    <w:p>
      <w:r>
        <w:rPr>
          <w:b/>
        </w:rPr>
        <w:t>E. 2.1</w:t>
      </w:r>
    </w:p>
    <w:p>
      <w:r>
        <w:t>Selon l' art. 9 al. 1 LAA ,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 art. 14 OLAA (RS 832.202), le Conseil fédéral a dressé à l'annexe 1 de l'OLAA la liste des substances nocives, d'une part, et la liste de certaines affections, ainsi que des travaux qui les provoquent, d'autre part. La liste des substances nocives mentionne les poussières d'amiante.</w:t>
      </w:r>
    </w:p>
    <w:p>
      <w:r>
        <w:rPr>
          <w:b/>
        </w:rPr>
        <w:t>E. 2.2</w:t>
      </w:r>
    </w:p>
    <w:p>
      <w:r>
        <w:t>Il est admis en l'espèce que l'assuré est décédé des suites d'une maladie professionnelle causée par une exposition à des poussières d'amiante. Le litige porte donc sur le point de savoir si l'intimée était fondée, par sa décision sur opposition du 18 décembre 2013, à refuser sa couverture d'assurance pour les troubles annoncés le 29 avril précédent.</w:t>
      </w:r>
    </w:p>
    <w:p>
      <w:r>
        <w:rPr>
          <w:b/>
        </w:rPr>
        <w:t>E. 3</w:t>
      </w:r>
    </w:p>
    <w:p>
      <w:r>
        <w:t>L'assuré, ressortissant d'un Etat partie à l'Accord du 21 juin 1999 entre la Confédération suisse, d'une part, et la Communauté européenne et ses Etats membres, d'autre part, sur la libre circulation des personnes (Accord sur la libre circulation des personnes, ALCP; RS 0.142.112.681) a exercé des activités salariées en Suisse et en Italie. Ses héritiers prétendent des prestations d'assurance d'une institution suisse. Le litige relève donc - c'est incontesté - de la coordination européenne des systèmes nationaux de sécurité sociale.</w:t>
      </w:r>
    </w:p>
    <w:p>
      <w:r>
        <w:rPr>
          <w:b/>
        </w:rPr>
        <w:t>E. 4.1</w:t>
      </w:r>
    </w:p>
    <w:p>
      <w:r>
        <w:t>Jusqu'au 31 mars 2012, les Parties à l'ALCP appliquaient entre elles le Règlement (CEE) n° 1408/71 du Conseil du 14 juin 1971 relatif à l'application des régimes de sécurité sociale aux travailleurs salariés, aux travailleurs non salariés et aux membres de leur famille qui se déplacent à l'intérieur de la Communauté (ci-après: règlement n° 1408/71; RO 2004 121). Une décision n° 1/2012 du Comité mixte du 31 mars 2012 (RO 2012 2345) a actualisé le contenu de l'Annexe II à l'ALCP avec effet au 1 er avril 2012 et il a été prévu,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(ci-après: règlement n° 883/2004; RS 0.831.109.268.1). Egalement à partir du 1 er avril 2012, les Parties appliquent le Règlement (CE) n° 987/2009 du Parlement européen et du Conseil du 16 septembre 2009 fixant les modalités d'application du règlement n° 883/2004, mentionné également dans l'Annexe II (ci-après: règlement n° 987/2009; RS 0.831.109.268.11). En l'espèce l'existence d'un mésothéliome pleural en relation avec une exposition à l'amiante a été diagnostiquée au mois de février 2013, de sorte que la réglementation entrée en vigueur dès le 1 er avril 2012 est applicable.</w:t>
      </w:r>
    </w:p>
    <w:p>
      <w:r>
        <w:rPr>
          <w:b/>
        </w:rPr>
        <w:t>E. 4.2</w:t>
      </w:r>
    </w:p>
    <w:p>
      <w:r>
        <w:t>Aux termes de l'art. 38 du règlement n° 883/2004, lorsqu'une personne qui a contracté une maladie professionnelle a exercé une activité susceptible, de par sa nature, de provoquer ladite maladie, en vertu de la législation de deux ou plusieurs Etats membres, les prestations auxquelles la victime ou ses survivants peuvent prétendre sont servies exclusivement en vertu de la législation du dernier de ces Etats dont les conditions se trouvent satisfaites. Selon l'art. 36 du règlement n° 987/2009, dans le cas visé à l'article 38 du règlement de base, la déclaration ou la notification de la maladie professionnelle est transmise à l'institution compétente en matière de maladies professionnelles de l'Etat membre sous la législation duquel l'intéressé a exercé en dernier lieu une activité susceptible de provoquer la maladie considérée. Lorsque l'institution à laquelle la déclaration ou la notification a été transmise constate qu'une activité susceptible de provoquer la maladie professionnelle considérée a été exercée en dernier lieu sous la législation d'un autre Etat membre, elle transmet la déclaration ou la notification ainsi que toutes les pièces qui l'accompagnent à l'institution correspondante de cet Etat membre (al. 1). Lorsque l'institution de l'Etat membre sous la législation duquel l'intéressé a exercé en dernier lieu une activité susceptible de provoquer la maladie professionnelle considérée constate que l'intéressé ou ses survivants ne satisfont pas aux conditions de cette législation, notamment parce que l'intéressé n'a jamais exercé dans ledit Etat membre une activité ayant causé la maladie professionnelle ou parce que cet Etat membre ne reconnaît pas le caractère professionnel de la maladie, ladite institution transmet sans délai à l'institution de l'Etat membre sous la législation duquel l'intéressé a exercé précédemment une activité susceptible de provoquer la maladie professionnelle considérée, la déclaration ou la notification et toutes les pièces qui l'accompagnent, y compris les constatations et rapports des expertises médicales auxquelles la première institution a procédé (al. 2).</w:t>
      </w:r>
    </w:p>
    <w:p>
      <w:r>
        <w:rPr>
          <w:b/>
        </w:rPr>
        <w:t>E. 5.1</w:t>
      </w:r>
    </w:p>
    <w:p>
      <w:r>
        <w:t>La cour cantonale a constaté, à l'aune de la règle du degré de la vraisemblance prépondérante, que feu A.________ avait été exposé à l'amiante pour la dernière fois en Italie, lors de son activité de monteur de cuisines au service de la société E.________. Elle s'est fondée pour cela sur la prise de position du docteur F.________ (du 4 novembre 2013), selon laquelle, dans la mesure où il travaillait forcément au montage et au démontage de cuisines, l'assuré a été en contact avec des éléments contenant de l'amiante comme des panneaux légers ou des plaques en ciment placés à cette époque entre le four et les armoires. Lors de l'arrachage ces éléments se désintègrent et laissent échapper des fibres. Le même phénomène se passe lors du montage au moment du découpage et de l'installation de ces éléments. Selon le BK-Report 1/2013, le montage et le découpage de ces éléments correspond à une valeur de 6,6 fibres par cm3. Le docteur F.________ a relevé que les autorités italiennes avaient interdit l'utilisation de l'amiante seulement en 1992. Par ailleurs, selon la cour cantonale qui se réfère à des extraits de pages Internet produits par la CNA, on trouve de l'amiante dans les panneaux intermédiaires de protection qui encaissent notamment les appareils électriques, dans les panneaux agglomérés de protection contre l'incendie posés contre les parois en bois des cuisines, dans les plaques ignifuges/pare-feu, dans les fours, dans les hottes de ventilation, ainsi que dans les colles et adhésifs. C'est pourquoi, avant l'interdiction d'utilisation de l'amiante, la création, la transformation et la démolition de cuisines exposaient le travailleur à cette substance.</w:t>
      </w:r>
    </w:p>
    <w:p>
      <w:r>
        <w:rPr>
          <w:b/>
        </w:rPr>
        <w:t>E. 5.2</w:t>
      </w:r>
    </w:p>
    <w:p>
      <w:r>
        <w:t>Les recourants invoquent la constatation erronée des faits pertinents par la cour cantonale (art. 97 al. 2 et 105 al. 3 LTF). Selon eux il n'est pas prouvé qu'un monteur de cuisines travaillant en Italie exerçait une activité exposée à l'amiante, ni que feu l'assuré a été exposé à cette substance au cours de son activité de monteur de cuisines neuves en Italie. Les intéressés critiquent le point de vue de la juridiction précédente, fondé sur la prise de position du docteur F.________, selon lequel feu A.________ a été forcément en contact avec cette substance au cours de cette activité. Or les renseignements fournis à la CNA par l'INAIL ne font pas état d'une exposition à l'amiante et, contrairement aux assertions du médecin prénommé, l'assuré ne travaillait pas au démontage de cuisines ni ne sciait des panneaux d'amiante isolés lorsqu'il procédait au montage. En ce qui concerne le BK-Report 1/2013 invoqué par les premiers juges, il ne mentionne ni l'activité de menuisier ni celle de monteur de cuisines en tant qu'activités exposées à l'amiante. La profession de menuisier est indiquée seulement en passant, et encore seulement en relation avec des activités qui ne concernent pas le montage de cuisines. Par ailleurs, même si feu A.________ avait découpé des panneaux d'amiante lors de la construction - ce que les recourants contestent -, le taux d'exposition à l'amiante de 6,6 fibres par cm3 indiqué par le docteur F.________ est trop élevé, compte tenu du fait que son travail comprenait d'autres tâches. En outre les recourants invoquent une interprétation erronée de    l'art. 38 du règlement n° 883/2004, en tant que l'intimée aurait retenu que la simple possibilité d'une exposition à l'amiante est suffisante pour que la couverture d'assurance incombe à l'assureur social italien. Selon les intéressés, il ressort de l'interprétation de cette disposition et de son titre ("Prestations pour maladie professionnelle lorsque la victime a été exposée au même risque dans plusieurs Etats membres") que l'assuré doit avoir été exposé au même risque dans les deux pays. Or, même si le taux d'exposition à l'amiante de 6,6 fibres par cm3 indiqué par le docteur F.________ est trop élevé, il est cependant encore inférieur au taux de 5,3 à 35 fibres par cm3 auquel est exposé un travailleur dans l'industrie de l'amiante, selon les propres données du médecin prénommé. Par conséquent le risque était plus important dans l'activité exercée en Suisse au service de B.________ SA que dans la profession de monteur de cuisines en Italie. Aussi les recourants soutiennent-ils qu'il n'y a pas lieu de faire supporter le dommage à l'assureur social italien, du moment qu'une exposition à l'amiante était seulement possible dans l'activité exercée en Italie.</w:t>
      </w:r>
    </w:p>
    <w:p>
      <w:r>
        <w:rPr>
          <w:b/>
        </w:rPr>
        <w:t>E. 6.1</w:t>
      </w:r>
    </w:p>
    <w:p>
      <w:r>
        <w:t>Dans un litige portant sur le point de savoir si un événement dommageable (accident ou maladie professionnelle) est couvert par l'assurance-accidents obligatoire, l'exception prévue à l' art. 105 al. 3 LTF ne s'applique pas, indépendamment du fait que l'octroi ou le refus de prestations en espèces peut dépendre de la solution de la question litigieuse ( ATF 135 V 412 ; pour une affaire semblable voir arrêt 8C_455/2011 du 4 mai 2012 consid. 1.2). Aussi le Tribunal fédéral fonde-t-il son raisonnement sur la base des faits établis par l'autorité précédente ( art. 105 al. 1 LTF ), à moins que ces faits n'aient été établis de façon manifestement inexacte - notion qui correspond à celle d'arbitraire au sens de l' art. 9 Cst. - ou en violation du droit au sens de l' art. 95 LTF ( art. 105 al. 2 LTF ). Il n'entre pas en matière sur des critiques appellatoires portant sur l'appréciation des preuves ou l'établissement des faits par l'autorité précédente ( ATF 140 III 264 consid. 2.3 p. 266; 139 II 404 consid. 10.1 p. 445). Il appartient au recourant de démontrer le caractère arbitraire des faits retenus par une argumentation répondant aux exigences de l' art. 42 al. 2 LTF , respectivement l' art. 106 al. 2 LTF .</w:t>
      </w:r>
    </w:p>
    <w:p>
      <w:r>
        <w:rPr>
          <w:b/>
        </w:rPr>
        <w:t>E. 6.2</w:t>
      </w:r>
    </w:p>
    <w:p>
      <w:r>
        <w:t>En l'occurrence, les recourants discutent librement les faits retenus dans l'arrêt attaqué sans invoquer l'arbitraire ni démontrer le caractère manifestement inexact de ceux constatés par la cour cantonale. En particulier, l'argument des recourants selon lequel les renseignements fournis à la CNA par l'INAIL ne font pas état d'une exposition à l'amiante ne leur est d'aucune aide étant donné qu'ils reposent sur les seules déclarations de feu l'assuré, son employeur ayant cessé son activité depuis plusieurs années. Quant à l'acte authentique du 24 septembre 2013, il ne fait pas foi du contenu de la déclaration de feu l'assuré mais seulement de sa signature. Par ailleurs les recourants ne peuvent pas se prévaloir du fait que le BK-Report 1/2013 ne mentionne pas expressément l'activité de monteur de cuisines étant donné que la liste des activités de menuiserie considérées dans ce rapport comme exposées à l'amiante n'est pas exhaustive. Enfin on ne saurait partager le point de vue des recourants, selon lequel le risque devrait être couvert par l'assurance sociale de l'Etat dans lequel l'exposition à l'amiante aurait été la plus élevée. En effet le Tribunal fédéral a jugé que cette manière de voir n'était pas compatible avec l'art. 57 du règlement n° 1408/71, dont le contenu, sur le point en discussion, est semblable à l'art. 38 du règlement n° 883/2004 sur le plan de la coordination des systèmes nationaux de sécurité sociale (SVR 2012 UV n° 29 p. 107, 8C_455/2011, consid. 4.2 et les références de doctrine). Sur la base de ses constatations de fait, la cour cantonale était dès lors fondée à retenir que l'intimée était en droit, par sa décision sur opposition du 18 décembre 2013, de refuser sa couverture d'assurance pour les troubles annoncés le 29 avril précédent. Le recours se révèle ainsi mal fondé.</w:t>
      </w:r>
    </w:p>
    <w:p>
      <w:r>
        <w:rPr>
          <w:b/>
        </w:rPr>
        <w:t>E. 7</w:t>
      </w:r>
    </w:p>
    <w:p>
      <w:r>
        <w:t>Les recourants, qui satisfont aux conditions de l' art. 64 al. 1 LTF , sont dispensés de l'obligation de payer les frais judiciaires. Quant aux conditions auxquelles l' art. 64 al. 2 LTF subordonne la désignation d'un avocat d'office, elles sont également réalisées. L'attention des recourants est cependant attirée sur le fait qu'ils devront rembourser la caisse du Tribunal s'ils deviennent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