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8C_200/2024 vom 10. Oktober 2024</w:t>
      </w:r>
    </w:p>
    <w:p>
      <w:r>
        <w:t>Bundesgericht, 2024-10-10, DE</w:t>
      </w:r>
    </w:p>
    <w:p>
      <w:r>
        <w:rPr>
          <w:b/>
        </w:rPr>
        <w:t xml:space="preserve">Quelle: </w:t>
      </w:r>
      <w:r>
        <w:t>https://mcp.opencaselaw.ch/entscheid/bger_8C_200_2024</w:t>
      </w:r>
    </w:p>
    <w:p>
      <w:r>
        <w:t>FR: TF 8C_200/2024 du 10 octobre 2024</w:t>
      </w:r>
    </w:p>
    <w:p>
      <w:r>
        <w:t>IT: TF 8C_200/2024 del 10 ottobre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Bundesrecht verletzte, indem sie in Bestätigung des Einspracheentscheids vom 23. Juni 2022 einen Anspruch auf Kurzarbeitsentschädigung für einen Mitarbeiter der Beschwerdeführerin ab dem 24. August 2020 verneinte.</w:t>
      </w:r>
    </w:p>
    <w:p>
      <w:r>
        <w:rPr>
          <w:b/>
        </w:rPr>
        <w:t>E. 2.2</w:t>
      </w:r>
    </w:p>
    <w:p>
      <w:r>
        <w:t>Die Vorinstanz hat die Bestimmungen und Grundsätze zum Anspruch auf Kurzarbeitsentschädigung ( Art. 31 Abs. 1 AVIG ), zum anrechenbaren Arbeitsausfall (Art. 31 Abs. 1 lit. b und d, Art. 32 Abs. 1 lit. a AVIG ) und zu den Härtefällen ( Art. 32 Abs. 3 AVIG i.V.m. Art. 51 Abs. 1 AVIV ) zutreffend dargelegt.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Richtig sind auch die Ausführungen zu den Voraussetzungen der Wiedererwägung einer rechtskräftigen Verfügung ( Art. 53 Abs. 2 ATSG ; BGE 148 V 195 E. 5.3 mit Hinweisen). Darauf wird verwiesen.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 Nach den laufend aktualisierten Weisungen des Staatssekretariats für Wirtschaft (SECO) "Sonderregelungen aufgrund der Pandemie" kann eine Pandemie aufgrund des jähen Auftretens, des Ausmasses und der Schwere nicht als normales, vom Arbeitgeber zu tragendes Betriebsrisiko im Sinn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(Weisung Nr. 2020/01 vom 10. März 2020, S. 3). Während zu Beginn der blosse Hinweis auf die Pandemie als ausreichende Begründung betrachtet wurde (Weisung Nr. 2020/06 vom 9. April 2020, S. 5), galt dies im hier interessierenden Zeitpunkt nicht mehr (Weisung Nr. 2020/15 vom 30. Oktober 2020, S. 1 und S. 8).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(Weisung Nr. 2020/01, S. 3).</w:t>
      </w:r>
    </w:p>
    <w:p>
      <w:r>
        <w:rPr>
          <w:b/>
        </w:rPr>
        <w:t>E. 2.4</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w:t>
      </w:r>
    </w:p>
    <w:p>
      <w:r>
        <w:rPr>
          <w:b/>
        </w:rPr>
        <w:t>E. 3</w:t>
      </w:r>
    </w:p>
    <w:p>
      <w:r>
        <w:t>Die Vorinstanz erwog, es sei unbestritten, dass die Beschwerdeführerin den "Fonds C.________" in U.________ nicht planmässig registriert habe. Der für die Administration dieses Projekts zuständige Mitarbeiter habe seine Tätigkeit nicht zum vorgesehen Zeitpunkt aufnehmen können und deshalb einen Arbeitsausfall erlitten. Die Beschwerdeführerin habe jedoch eingeräumt, dass der für die Fonds-Eröffnung notwendige Kooperationsvertrag nur deshalb nicht habe abgeschlossen werden können, weil sich die Vertragsparteien nie persönlich getroffen hätten. Ein persönliches Treffen habe jedoch bloss (aufgrund kultureller Gepflogenheiten) einem Wunsch der osteuropäischen Investoren entsprochen und sei nicht rechtlich erforderlich gewesen. Zum normalen Betriebsrisiko gehörend sei der Arbeitsausfall nicht anrechenbar und daher ein Anspruch auf Kurzarbeitsentschädigung ab August 2020 zu verneinen. Nachdem die gesetzlichen Voraussetzungen für den Anspruch auf Kurzarbeitsentschädigung nicht erfüllt seien, erweise sich die erfolgte Bewilligung von Kurzarbeit als zweifellos unrichtig und die Berichtigung des Entscheids von erheblicher Bedeutung, weshalb die wiedererwägungsweise Aufhebung der beiden Verfügungen zu Recht erfolgt sei.</w:t>
      </w:r>
    </w:p>
    <w:p>
      <w:r>
        <w:rPr>
          <w:b/>
        </w:rPr>
        <w:t>E. 4</w:t>
      </w:r>
    </w:p>
    <w:p>
      <w:r>
        <w:t>Die Beschwerdeführerin vermag den vorinstanzlichen Darlegungen nichts Stichhaltiges entgegenzusetzen. Sie wiederholt namentlich, dass sie den Fonds C.________ deshalb nicht zeitlich wie geplant habe registrieren können, weil die Investoren wegen der pandemiebedingten Reisebeschränkungen nicht hätten in die Schweiz reisen können, wobei die Unterzeichnung des Kooperationsvertrags reine Formsache gewesen sei. Aus kulturellen Gründen würden Investoren aus osteuropäischen Ländern darauf bestehen, Vertragspartner vor der Unterzeichnung einer Vereinbarung physisch zu treffen. Der von Kurzarbeit betroffene Mitarbeiter sei bis Mitte Juli 2020 intern geschult worden. Für die finale Einrichtung des Fonds C.________ habe lediglich die Unterzeichnung des Kooperationsvertrags durch die Investoren gefehlt. Die physische Anwesenheit der Investoren sei ferner für die Eröffnung eines Bankkontos in der Schweiz notwendig gewesen.</w:t>
      </w:r>
    </w:p>
    <w:p>
      <w:r>
        <w:rPr>
          <w:b/>
        </w:rPr>
        <w:t>E. 5.1.1</w:t>
      </w:r>
    </w:p>
    <w:p>
      <w:r>
        <w:t>Inwiefern die Sachverhaltsfeststellung und Beweiswürdigung der Vorinstanz offensichtlich unrichtig (willkürlich) sein soll, ergibt sich aus den Rügen der Beschwerdeführerin nicht. Auch wenn es den Investoren frei stand, ein persönliches Treffen zur Unterzeichnung der Kooperationsvereinbarung zu verlangen, wie eingewendet wird, zeigt die Beschwerdeführerin zum einen nicht stichhaltig auf, dass die Einreisebestimmungen in die Schweiz für die Investoren im Zeitraum vom 24. August bis 23. November 2020 derart restriktiv gewesen wären, dass sie überhaupt nicht hätten einreisen können (vgl. Medienmitteilung des Bundesrates vom 27. Mai 2020 zu den ab 8. Juni 2020 weiter gelockerten Einreisebeschränkungen: https://www.admin.ch/gov/de/start/dokumentation/medienmitteilungen msg-id-79248.html und Chronologie des Jahres 2020 aus Sicht des Staatssekretariats für Migration SEM: https://archiv.migration.swiss/migrationsbericht-2020/chronologie-2, je abgefragt am 8. Oktober 2024).</w:t>
      </w:r>
    </w:p>
    <w:p>
      <w:r>
        <w:rPr>
          <w:b/>
        </w:rPr>
        <w:t>E. 5.1.2</w:t>
      </w:r>
    </w:p>
    <w:p>
      <w:r>
        <w:t>Zum andern verletzt die Vorinstanz kein Bundesrecht, wenn sie gestützt auf die Darlegungen der Beschwerdeführerin zum Schluss gelangte, dass die Investoren offenbar aus kulturellen Gründen nicht bereit waren, Alternativen zur Vertragsunterzeichnung mittels physischer Anwesenheit zu prüfen bzw. zuzulassen. Solches wird auch letztinstanzlich nicht geltend gemacht, sondern der kulturelle Hintergrund für das investorenseitig verlangte physische Treffen betont. Dass alternative Lösungen zur physischen Präsenz im Hinblick auf die Vertragsunterzeichnung und die Eröffnung eines Bankkontos (wie beispielsweise moderne Identifizierungslösungen, Korrespondenzbanken, Stellvertretungen/Vollmachten, alternative Banklösungen) überhaupt in Erwägung gezogen und geprüft worden wären, ergibt sich dementsprechend aus den Akten nicht, wie die Vorinstanz bereits willkürfrei erkannte. Weshalb eine Bankkontoeröffnung in der Schweiz zwingend die persönliche Anwesenheit der Investoren bedingt hätte, legt die Beschwerdeführerin überdies nicht dar.</w:t>
      </w:r>
    </w:p>
    <w:p>
      <w:r>
        <w:rPr>
          <w:b/>
        </w:rPr>
        <w:t>E. 5.2</w:t>
      </w:r>
    </w:p>
    <w:p>
      <w:r>
        <w:t>Entgegen der vorgetragenen Rüge war die Vorinstanz bei dieser Sachlage nicht verpflichtet, in Nachachtung des Untersuchungsgrundsatzes ( Art. 61 lit. c ATSG ) weitere Beweise in Form von Zeugenbefragungen zu erheben. In welcher Hinsicht eine Befragung von A.________ oder D.________ bei der sich präsentierenden Ausgangslage zu einem die vorinstanzliche Auffassung beeinflussenden Erkenntnisgewinn geführt hätte, bringt die Beschwerdeführerin nicht vor. Es erhellt somit nicht, was in sachverhaltlicher Hinsicht durch die Befragung des als Zeugen offerierten D.________ hätte geklärt werden sollen, nachdem dieser einzig im Zusammenhang mit dem Interesse der E.________ S.A. (BMI) als Fonds-Managerin und Depositorin des Fonds zu fungieren, im vorinstanzlichen Verfahren als Zeuge angeboten worden war. Die Aussage von A.________ in der vorinstanzlichen Beschwerde, dass Investoren aus osteuropäischen Ländern aus kulturellen Gründen darauf bestehen würden, ihre Vertragspartner vor der Unterzeichnung einer Vereinbarung physisch zu treffen, sodass sie nicht bereit gewesen seien, die Kooperationsvereinbarung zu unterzeichnen, wird von keiner Seite bestritten, weshalb sich auch zu diesem Punkt eine Zeugenbefragung erübrigte. Es bestehen keine Anhaltspunkte dafür, dass die Vorinstanz durch die Nichtvornahme entsprechender Befragungen den Sachverhalt offenkundig unrichtig erhoben haben soll, wie vorgebracht wird. Im Sinne einer zulässigen antizipierten Beweiswürdigung (vgl. BGE 145 I 167 E. 4.1; 144 II 427 E. 3.1.3; 143 III 297 E. 9.3.2) verletzt ihr Verzicht auf Zeugeneinvernahmen ebenso wenig den Anspruch auf rechtliches Gehör ( Art. 29 Abs. 2 BV ).</w:t>
      </w:r>
    </w:p>
    <w:p>
      <w:r>
        <w:rPr>
          <w:b/>
        </w:rPr>
        <w:t>E. 5.3</w:t>
      </w:r>
    </w:p>
    <w:p>
      <w:r>
        <w:t>Der Arbeitsausfall beruht nach den verbindlichen vorinstanzlichen Feststellungen auf einer freiwilligen, kulturell motivierten Entscheidung der Investoren, nur in physischer Anwesenheit in der Schweiz eine Kooperationsvereinbarung zu unterzeichnen und ein Bankkonto zu eröffnen und nicht auf einer behördlich angeordneter Massnahme im Sinne von Art. 32 Abs. 3 AVIG und Art. 51 AVIV (vgl. Ziff. 2.2 f. der Weisung 2021/13 des SECO «Sonderregelungen aufgrund der Pandemie» vom 30. Juni 2021). Die geltend gemachten Arbeitsausfälle des Mitarbeiters hätten mithin insofern verhindert werden können, als es den Investoren möglich gewesen wäre, umständehalber auf ein persönliches Erscheinen vor Ort zu verzichten, was sie offensichtlich nicht getan haben. Damit war der Arbeitsausfall weder auf wirtschaftliche Gründe zurückzuführen noch unvermeidbar, weshalb der Vorinstanz keine Verletzung von Art. 32 Abs. 1 lit. a AVIG vorzuwerfen ist. Offen bleiben kann daher, wie es sich mit der Rüge der Beschwerdeführerin verhält, das vorinstanzliche Argument gehe fehl, wonach selbst bei erfolgreicher Registrierung und fehlenden Reisebeschränkungen eine tatsächliche Investition in den Fonds C.________ im Sinne eines normalen Betriebsrisikos nicht sicher gewesen wäre.</w:t>
      </w:r>
    </w:p>
    <w:p>
      <w:r>
        <w:rPr>
          <w:b/>
        </w:rPr>
        <w:t>E. 5.4</w:t>
      </w:r>
    </w:p>
    <w:p>
      <w:r>
        <w:t>Die Vorinstanz hat somit zu Recht einen Anspruch auf Kurzarbeitsentschädigung ab dem 24. August 2020 verneint und die Rückerstattungspflicht bejaht. Somit hat es beim vorinstanzlichen Urteil sein Bewenden. Eine Rückweisung an die Vorinstanz, wie von der Beschwerdeführerin eventualiter beantragt, jedoch nicht näher begründet, erübrigt sich.</w:t>
      </w:r>
    </w:p>
    <w:p>
      <w:r>
        <w:rPr>
          <w:b/>
        </w:rPr>
        <w:t>E. 6</w:t>
      </w:r>
    </w:p>
    <w:p>
      <w:r>
        <w:t>Das Gesuch um aufschiebende Wirkung der Beschwerde wird mit dem heutigen Urteil gegenstandslos.</w:t>
      </w:r>
    </w:p>
    <w:p>
      <w:r>
        <w:rPr>
          <w:b/>
        </w:rPr>
        <w:t>E. 7</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