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8C_200/2014 vom 26. Juni 2014</w:t>
      </w:r>
    </w:p>
    <w:p>
      <w:r>
        <w:t>Bundesgericht, 2014-06-26, DE</w:t>
      </w:r>
    </w:p>
    <w:p>
      <w:r>
        <w:rPr>
          <w:b/>
        </w:rPr>
        <w:t xml:space="preserve">Quelle: </w:t>
      </w:r>
      <w:r>
        <w:t>https://mcp.opencaselaw.ch/entscheid/bger_8C_200_2014</w:t>
      </w:r>
    </w:p>
    <w:p>
      <w:r>
        <w:t>FR: TF 8C_200/2014 du 26 juin 2014</w:t>
      </w:r>
    </w:p>
    <w:p>
      <w:r>
        <w:t>IT: TF 8C_200/2014 del 26 giugno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im Rahmen des Studiums an der Universität C.________ auf Taggeld der Invalidenversicherung besteht.</w:t>
      </w:r>
    </w:p>
    <w:p>
      <w:r>
        <w:t>Die Rechtsgrundlagen für die Beurteilung der Streitsache sind im angefochtenen Entscheid zutreffend dargelegt. Darauf wird verwiesen.</w:t>
      </w:r>
    </w:p>
    <w:p>
      <w:r>
        <w:rPr>
          <w:b/>
        </w:rPr>
        <w:t>E. 3</w:t>
      </w:r>
    </w:p>
    <w:p>
      <w:r>
        <w:t>Umstritten ist, ob es sich beim Studium an der Universität C.________ um eine erstmalige berufliche Ausbildung im Sinne von Art. 16 Abs. 1 IVG oder um eine berufliche Weiterausbildung im Sinne von Art. 16 Abs. 2 lit. c IVG handelt. Bei der erstmaligen beruflichen Ausbildung kann - unter bestimmten Voraussetzungen - ein Anspruch auf Taggeld bestehen ( Art. 22 Abs. 1bis IVG ), bei der beruflichen Weiterausbildung nicht ( Art. 22 Abs. 5 IVG ).</w:t>
      </w:r>
    </w:p>
    <w:p>
      <w:r>
        <w:rPr>
          <w:b/>
        </w:rPr>
        <w:t>E. 3.1</w:t>
      </w:r>
    </w:p>
    <w:p>
      <w:r>
        <w:t>Das kantonale Gericht hat erkannt, der Versicherte verfüge mit der abgeschlossenen Lehre als kaufmännischer Angestellter und einer Berufsmaturität offenkundig über eine erstmalige berufliche Ausbildung, welche ihm den angemessenen Einstieg ins Erwerbsleben ermöglicht hätte. Das Studium zum Bachelor of Arts der Volkswirtschaftslehre stelle eine Etappe im Hinblick auf ein ausserhalb des kaufmännischen Bereichs liegendes akademisches Berufsziel dar und diene damit nicht dem Erwerb oder der Vermittlung spezifischer beruflicher Kenntnisse und Fertigkeiten im Rahmen der erstmaligen beruflichen Ausbildung. Vielmehr sei mit der Verwaltung von einem davon unabhängigen neuen Bildungsweg auszugehen, welcher im Hinblick auf den mit Art. 16 Abs. 1 IVG verfolgten Eingliederungszweck und angesichts der bereits vorhandenen Erwerbsmöglichkeiten nicht als invaliditätsbedingt notwendiger Bestandteil einer Erstausbildung betrachtet werden könne.</w:t>
      </w:r>
    </w:p>
    <w:p>
      <w:r>
        <w:t>Die vorinstanzliche Beurteilung entspricht in allen Teilen der Rechtsprechung (so bei gleicher Ausgangslage ausdrücklich: Urteil 9C_181/2009 vom 3. November 2009 E. 5.2.1; vgl. auch Urteil 9C_231/2011 vom 14. September 2011; ULRICH MEYER, Rechtsprechung des Bundesgerichts zum IVG, 2. Aufl. 2010, S. 189 und 249). Es besteht kein Anlass, von dieser abzuweichen.</w:t>
      </w:r>
    </w:p>
    <w:p>
      <w:r>
        <w:rPr>
          <w:b/>
        </w:rPr>
        <w:t>E. 3.2</w:t>
      </w:r>
    </w:p>
    <w:p>
      <w:r>
        <w:t>Der Beschwerdeführer macht das auch nicht geltend. Er bringt vielmehr vor, er habe von Beginn weg eine Aufnahme ins Gymnasium anvisiert, um danach ein Hochschulstudium absolvieren zu können. Werde das nicht berücksichtigt, stelle dies eine Verletzung des Rechtsgleichheitsgebots dar, da gerade schwer behinderte Menschen, die einen Hochschulabschluss auf dem zweiten Bildungsweg anstrebten, gegenüber jenen, die ihr Berufsziel über den Besuch eines Gymnasiums angingen, erheblich benachteiligt würden. Zudem sei den wenigsten Gymnasiasten bei Eintritt ins Gymnasium klar, welchen konkreten Berufsgang sie nach dessen Abschluss absolvieren würden .</w:t>
      </w:r>
    </w:p>
    <w:p>
      <w:r>
        <w:t>Die Einwände vermögen die vorinstanzliche Beurteilung nicht in Frage zu stellen. Ob eine Ausbildungsplanung, wie sie der Versicherte für sich beschreibt, zu einer anderen Betrachtungsweise führen könnte, kann offen bleiben. Denn mit Blick auf den Werdegang mit Berufslehre, anschliessendem Praktikum mit Erwerb der Berufsmaturität, Passerelle und abgebrochenem Informatik-Studium kann jedenfalls nicht gesagt werden, das nunmehr betriebene Studium der Volkswirtschaft entspreche einem konsequent eingehaltenen Ausbildungsplan. Der Beschwerdeführer gibt zudem selber an, er habe damals die Aufnahmeprüfung ans Gymnasium nicht bestanden, weil er die deutsche Sprache zu wenig beherrscht habe, mithin aus einem invaliditätsfremden Grund. Die Beschwerde ist mithin abzuweisen.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