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8C_1/2014 vom 5. März 2014</w:t>
      </w:r>
    </w:p>
    <w:p>
      <w:r>
        <w:t>Bundesgericht, 2014-03-05, DE</w:t>
      </w:r>
    </w:p>
    <w:p>
      <w:r>
        <w:rPr>
          <w:b/>
        </w:rPr>
        <w:t xml:space="preserve">Quelle: </w:t>
      </w:r>
      <w:r>
        <w:t>https://mcp.opencaselaw.ch/entscheid/bger_8C_1_2014</w:t>
      </w:r>
    </w:p>
    <w:p>
      <w:r>
        <w:t>FR: TF 8C_1/2014 du 5 mars 2014</w:t>
      </w:r>
    </w:p>
    <w:p>
      <w:r>
        <w:t>IT: TF 8C_1/2014 del 5 marzo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die Höhe des Rentenanspruchs. Nicht beanstandet wird dabei die von der Vorinstanz gestützt auf das Gerichtsgutachten vom 3. Mai 2013 festgestellte zumutbare Restarbeitsfähigkeit von 70 % in einer leidensangepassten Tätigkeit. Unbestritten ist zudem das Valideneinkommen sowie das gestützt auf die schweizerische Lohnstrukturerhebung (LSE) ermittelte Invalideneinkommen. Gerügt wird einzig, dass im Rahmen des Einkommensvergleichs beim Invalideneinkommen kein Abzug vorgenommen wurde. Gemäss Beschwerdeführer ist dieser auf 15 % festzusetzen, woraus ein Invaliditätsgrad von 50 % und mithin eine halbe Invalidenrente resultieren würde.</w:t>
      </w:r>
    </w:p>
    <w:p>
      <w:r>
        <w:rPr>
          <w:b/>
        </w:rPr>
        <w:t>E. 2.1</w:t>
      </w:r>
    </w:p>
    <w:p>
      <w:r>
        <w:t>Wie die Vorinstanz im angefochtenen Entscheid richtig erwog, kann praxisgemäss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 vgl. auch: BGE 129 V 472 E. 4.2.3 S. 481, 135 V 297 E. 5.2 S. 301 mit Hinweisen).</w:t>
      </w:r>
    </w:p>
    <w:p>
      <w:r>
        <w:rPr>
          <w:b/>
        </w:rPr>
        <w:t>E. 2.2</w:t>
      </w:r>
    </w:p>
    <w:p>
      <w:r>
        <w:t>Ob ein (behinderungsbedingt oder anderweitig begründeter) Abzug vom hypothetischen Invalideneinkommen vorzunehmen sei, ist eine Rechtsfrage. Demgegenüber stellt die Höhe des Abzuges eine typische Ermessensfrage dar, deren Beantwortung letztinstanzlicher Korrektur nur dort zugänglich ist, wo das kantonale Gericht das Ermessen rechtsfehlerhaft ausgeübt hat, d.h. bei Ermessensüberschreitung, -missbrauch oder -unterschreitung (vgl. BGE 137 V 71 E. 5.1 S. 72 f. mit Hinweis auf BGE 132 V 393 E. 3.3 in fine S. 399).</w:t>
      </w:r>
    </w:p>
    <w:p>
      <w:r>
        <w:rPr>
          <w:b/>
        </w:rPr>
        <w:t>E. 3.1</w:t>
      </w:r>
    </w:p>
    <w:p>
      <w:r>
        <w:t>Der Beschwerdeführer macht geltend, im konkreten Fall habe der leidensbedingte Abzug den zusätzlichen Anforderungen an einen angepassten Arbeitsplatz aufgrund der durch das Schlafapnoesyndrom bedingten erhöhten Tagesmüdigkeit, den Einschränkungen an der Schulter und den Einschränkungen an der linken Hand zu genügen, was einen Abzug von 15 % rechtfertige.</w:t>
      </w:r>
    </w:p>
    <w:p>
      <w:r>
        <w:rPr>
          <w:b/>
        </w:rPr>
        <w:t>E. 3.2</w:t>
      </w:r>
    </w:p>
    <w:p>
      <w:r>
        <w:t>Die Vorinstanz stützte sich im Rahmen der Invaliditätsbemessung anhand der Einkommensvergleichsmethode beim Invalideneinkommen auf die Tabelle TA1, Total, Anforderungsniveau 4, einfache und repetitive Tätigkeiten, Männer, der LSE (2010) ab. Dabei ging sie gestützt auf das Gerichtsgutachten von einer 70 %igen Arbeitsfähigkeit aus und sah von der Gewährung eines zusätzlichen Abzuges ab. Nachdem vorliegend dem Versicherten entsprechend dem Gerichtsgutachten adaptierte leichte bis mittelschwere Tätigkeiten, ohne Arbeiten über Schulterhöhe und unter Berücksichtigung der Einschränkungen der linken Hand zu 70 % zumutbar sind, er zwar an erhöhter Tagesmüdigkeit als Folge des bestehenden Schlafapnoesyndroms gemäss Gerichtsgutachten leidet, dies aber keinen Einfluss auf die Arbeitsfähigkeit hat, kann offen bleiben, ob ein leidensbedingter Abzug gerechtfertigt wäre, denn selbst bei einem Abzug von 10 % würde dies zu keinem anderen Ergebnis führen, während der geltend gemachte Abzug vorliegend unbegründet ist. Die Beschwerde ist abzuweisen.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