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194/2013 vom 26. September 2013</w:t>
      </w:r>
    </w:p>
    <w:p>
      <w:r>
        <w:t>Bundesgericht, 2013-09-26, FR</w:t>
      </w:r>
    </w:p>
    <w:p>
      <w:r>
        <w:rPr>
          <w:b/>
        </w:rPr>
        <w:t xml:space="preserve">Quelle: </w:t>
      </w:r>
      <w:r>
        <w:t>https://mcp.opencaselaw.ch/entscheid/bger_8C_194_2013</w:t>
      </w:r>
    </w:p>
    <w:p>
      <w:r>
        <w:t>FR: TF 8C 194/2013 du 26 septembre 2013</w:t>
      </w:r>
    </w:p>
    <w:p>
      <w:r>
        <w:t>IT: TF 8C 194/2013 del 26 settembre 2013</w:t>
      </w:r>
    </w:p>
    <w:p>
      <w:pPr>
        <w:pStyle w:val="Heading2"/>
      </w:pPr>
      <w:r>
        <w:t>Regeste</w:t>
      </w:r>
    </w:p>
    <w:p>
      <w:r>
        <w:t>Assurance-chômage (suspension du droit à l'indemnité de chômage, quotité)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jugement entrepris expose les dispositions légales relatives à la suspension du droit aux indemnités de chômage ( art. 30 al. 1 let . c LACI) et à l'obligation des assurés d'apporter la preuve de leurs efforts en vue de retrouver un emploi ( art. 17 al. 1 LACI ). On peut y renvoyer sur ces points. On rappellera qu'aux termes de l' art. 26 al. 2 OACI ,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w:t>
      </w:r>
    </w:p>
    <w:p>
      <w:r>
        <w:rPr>
          <w:b/>
        </w:rPr>
        <w:t>E. 4</w:t>
      </w:r>
    </w:p>
    <w:p>
      <w:r>
        <w:t>La juridiction cantonale a considéré que l'intimée n'avait pas été en mesure de prouver qu'elle avait bien déposé sa feuille de recherches d'emploi pour le mois de juillet 2012 dans le délai prescrit par l' art. 26 al. 2 OACI . Par conséquent, l'administration était fondée à prononcer une sanction. S'écartant du barème du SECO (cinq jours de suspension en pareil cas), les premiers juges en ont réduit la durée à un jour. Le recourant se plaint d'une violation des art. 17 al. 1 LACI et 26 al. 2 OACI ainsi que de l' art. 45 al. 2 let. a LACI .</w:t>
      </w:r>
    </w:p>
    <w:p>
      <w:r>
        <w:rPr>
          <w:b/>
        </w:rPr>
        <w:t>E. 5.1</w:t>
      </w:r>
    </w:p>
    <w:p>
      <w:r>
        <w:t>La durée de la suspension du droit à l'indemnité de chômage est fixée compte tenu non seulement de la faute, mais également du principe de proportionnalité ( THOMAS NUSSBAUMER,, Arbeitslosenversicherung, in Soziale Sichereit,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o 20 p. 229 consid. 2 [C 285/05]; arrêt 8C_33/2012 du 26 juin 2012 consid. 3.2).</w:t>
      </w:r>
    </w:p>
    <w:p>
      <w:r>
        <w:rPr>
          <w:b/>
        </w:rPr>
        <w:t>E. 5.2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w:t>
      </w:r>
    </w:p>
    <w:p>
      <w:r>
        <w:rPr>
          <w:b/>
        </w:rPr>
        <w:t>E. 6</w:t>
      </w:r>
    </w:p>
    <w:p>
      <w:r>
        <w:t>En l'espèce, la juridiction cantonale a motivé la réduction du droit à l'indemnité par le fait que l'assurée avait bel et bien adressé des offres de service les 2 et 4 juillet 2012 à deux employeurs mentionnés dans la feuille de recherches d'emploi du 25 juillet 2012 (dont elle avait communiqué la copie en annexe à son opposition). En outre, quatre autres recherches d'emploi figuraient sur la même feuille. Par ailleurs, l'intéressée avait toujours respecté scrupuleusement ses obligations en matière de chômage. Ces motifs ne constituent cependant pas des critères d'évaluation pertinents de la gravité de la faute pour fixer la durée de la suspension du droit à l'indemnité (pour un cas comparable cf. arrêt 8C_601/2012 du 26 février 2013). Le présent cas se distingue de l'arrêt 8C_64/2012 du 26 juin 2012, dans lequel le Tribunal fédéral a confirmé une réduction de la suspension au minimum prévu par l' art. 45 al. 3 OACI , au motif que l'intéressé avait remis la preuve de ses recherches d'emploi avec un jour de retard seulement et pour la première fois (cf. aussi arrêt 8C_33/2012 du 26 juin 2012). Or, dans le cas particulier, on doit constater que l'intimée n'a pas remis spontanément les pièces requises. Elle l'a fait seulement au moment de son opposition. Dans ces conditions on doit admettre qu'il y a abus du pouvoir d'appréciation de la part de la juridiction cantonale. Le recours est ainsi bien fondé.</w:t>
      </w:r>
    </w:p>
    <w:p>
      <w:r>
        <w:rPr>
          <w:b/>
        </w:rPr>
        <w:t>E. 7</w:t>
      </w:r>
    </w:p>
    <w:p>
      <w:r>
        <w:t>Il y a lieu de renoncer, exceptionnellement,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