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8C_192/2018 vom 12. März 2019</w:t>
      </w:r>
    </w:p>
    <w:p>
      <w:r>
        <w:t>Bundesgericht, 2019-03-12, FR</w:t>
      </w:r>
    </w:p>
    <w:p>
      <w:r>
        <w:rPr>
          <w:b/>
        </w:rPr>
        <w:t xml:space="preserve">Quelle: </w:t>
      </w:r>
      <w:r>
        <w:t>https://mcp.opencaselaw.ch/entscheid/bger_8C_192_2018</w:t>
      </w:r>
    </w:p>
    <w:p>
      <w:r>
        <w:t>FR: TF 8C_192/2018 du 12 mars 2019</w:t>
      </w:r>
    </w:p>
    <w:p>
      <w:r>
        <w:t>IT: TF 8C_192/2018 del 12 marzo 2019</w:t>
      </w:r>
    </w:p>
    <w:p>
      <w:pPr>
        <w:pStyle w:val="Heading2"/>
      </w:pPr>
      <w:r>
        <w:t>Erwägungen</w:t>
      </w:r>
    </w:p>
    <w:p>
      <w:r>
        <w:rPr>
          <w:b/>
        </w:rPr>
        <w:t>E. 1.1</w:t>
      </w:r>
    </w:p>
    <w:p>
      <w:r>
        <w:t>L'arrêt attaqué ne met pas un terme à la procédure et doit donc être qualifié de décision incidente. Une telle décision ne peut être attaquée qu'aux conditions de l' art. 93 LTF ( ATF 140 V 321 consid. 3.1 p. 325; 133 V 477 consid. 4.2 p. 482).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141 V 330 consid. 1.2 p. 332; 133 V 477 précité consid. 5.2 p. 483).</w:t>
      </w:r>
    </w:p>
    <w:p>
      <w:r>
        <w:t>Cette éventualité est réalisée en l'espèce. L'arrêt attaqué a un effet contraignant pour la recourante - qui a nié le droit aux prestations faute d'un lien de causalité adéquate - en ce sens qu'elle doit compléter l'instruction médicale par la réalisation d'une expertise psychiatrique destinée à confirmer ou infirmer les conclusions du docteur O.________, tout en étant liée par le jugement de renvoi par lequel la cour cantonale a d'ores et déjà reconnu l'existence d'un tel lien de causalité adéquate. Le jugement cantonal peut donc être déféré immédiatement au Tribunal fédéral.</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 peut prétendre des prestations de l'assurance-accidents pour les troubles qui ont entraîné une incapacité de travail dès le 9 décembre 2008.</w:t>
      </w:r>
    </w:p>
    <w:p>
      <w:r>
        <w:t>Lorsque, comme ici, la procédure de recours concerne des prestations en espèces et en nature de l'assurance-accidents, le Tribunal fédéral dispose d'un pouvoir d'examen étendu en ce qui concerne les faits communs aux deux types de prestations (cf. par exemple arrêt 8C_595/2017 du 16 mai 2018 consid. 2.1).</w:t>
      </w:r>
    </w:p>
    <w:p>
      <w:r>
        <w:rPr>
          <w:b/>
        </w:rPr>
        <w:t>E. 3</w:t>
      </w:r>
    </w:p>
    <w:p>
      <w:r>
        <w:t>Le 1er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w:t>
      </w:r>
    </w:p>
    <w:p>
      <w:r>
        <w:t>Le jugement entrepris a correctement exposé les dispositions légales et les principes jurisprudentiels applicables. Il suffit par conséquent d'y renvoyer.</w:t>
      </w:r>
    </w:p>
    <w:p>
      <w:r>
        <w:rPr>
          <w:b/>
        </w:rPr>
        <w:t>E. 4</w:t>
      </w:r>
    </w:p>
    <w:p>
      <w:r>
        <w:t>La cour cantonale a tout d'abord constaté que les examens entrepris par la CNA permettaient d'écarter une cause organique aux troubles résiduels dont se plaignait l'assuré (céphalées, acouphènes et hyperacousie). En effet, les docteurs H.________ et J.________ avaient qualifié le status neurologique de normal. C'était également le cas du bilan audio-vestibulaire pratiqué tant en 2007 qu'en 2010 par le docteur K.________, qui rapportait même une amélioration de la situation lors de sa dernière consultation selon les propres dires de l'assuré. Bien que ces appréciations soient anciennes, les pièces médicales plus récentes des médecins français n'apportaient rien de nouveau ni ne contredisaient les constatations effectuées par leurs confrères auparavant. Passant ensuite en revue les rapports d'examen psychiatrique au dossier, la cour cantonale a relevé que le diagnostic de trouble dépressif récurrent retenu en 2010 par le docteur M.________ était contesté par le docteur N.________, de la CNA, et qu'il n'était plus d'actualité selon le docteur O.________, également de la CNA, lequel concluait, en 2015, à un syndrome douloureux somatoforme persistant et autres modifications durables de la personnalité.</w:t>
      </w:r>
    </w:p>
    <w:p>
      <w:r>
        <w:t>Ceci posé et rappelant que la jurisprudence admet de laisser ouverte la question du rapport de causalité naturelle dans les cas où ce lien de causalité ne peut de toute façon pas être qualifié d'adéquat ( ATF 135 V 465 consid. 5.1 p. 472), la cour cantonale a entrepris d'examiner en premier lieu le lien de causalité adéquate. En l'absence de substrat objectivable aux troubles, elle a fait application de la jurisprudence en matière de troubles psychiques consécutifs à un événement accidentel ( ATF 115 V 133 ), et classé l'accident du 31 août 2007 à la limite supérieure des accidents de gravité moyenne. A cet égard, elle a relevé qu'il s'agissait d'une perte de maîtrise sur l'autoroute en raison d'un assoupissement du conducteur suivie d'une sortie de route du véhicule qui a effectué plusieurs tonneaux, que la police n'avait relevé aucune trace de freinage, et que le choc de la voiture contre la berme centrale avait dû être d'une violence particulière puisque l'amie de l'assuré avait été éjectée malgré le fait qu'elle portait sa ceinture de sécurité. En ce qui concerne les critères déterminants consacrés par la jurisprudence, la cour cantonale a admis celui du caractère particulièrement impressionnant de l'accident. En outre, les circonstances concomitantes de cet événement avaient été particulièrement dramatiques dans la mesure où celui-ci avait causé le décès du conducteur et rendu l'amie de l'assuré paraplégique. Cela suffisait, toujours selon la cour cantonale, pour reconnaître un rapport de causalité adéquate.</w:t>
      </w:r>
    </w:p>
    <w:p>
      <w:r>
        <w:t>Dans un considérant final, l'instance cantonale est revenue sur le rapport du docteur O.________. Le Tribunal fédéral avait revu et modifié en profondeur le schéma d'évaluation de la capacité de travail, respectivement de l'incapacité de travail, en cas de syndrome douloureux somatoforme et d'affections psychosomatiques comparables ( ATF 141 V 281 ). Or le rapport du psychiatre précité ne permettait pas une appréciation de l'état de santé de l'assuré à la lumière des exigences relatives au diagnostic et des indicateurs déterminants développés par la nouvelle jurisprudence. Aussi bien, la cour cantonale a-t-elle considéré que l'instruction devait être complétée afin d'examiner la pertinence des diagnostics de trouble somatoforme douloureux et autres modifications durables de la personnalité, de confirmer la présence d'un lien de causalité naturelle entre l'accident du 31 août 2007 et ces atteintes, puis de déterminer les effets de celles-ci sur la capacité de travail de l'assuré au-delà du 9 décembre 2008.</w:t>
      </w:r>
    </w:p>
    <w:p>
      <w:r>
        <w:rPr>
          <w:b/>
        </w:rPr>
        <w:t>E. 5</w:t>
      </w:r>
    </w:p>
    <w:p>
      <w:r>
        <w:t>La recourante remet en cause la qualification de l'accident. Citant en exemple les arrêts 8C_996/2010 du 14 mars 2011 et 8C_363/2012 du 27 juin 2012, elle considère que l'accident subi par l'assuré doit être rangé dans la catégorie des accidents de gravité moyenne stricto sensu. Par ailleurs, elle estime que le critère du caractère particulièrement impressionnant de l'accident n'est pas donné car l'assuré dormait au moment de l'accident et avait présenté par la suite une amnésie circonstancielle de 36 heures. Il n'avait donc pas été confronté directement au décès du conducteur ni aux faits concernant la passagère assise à ses côtés.</w:t>
      </w:r>
    </w:p>
    <w:p>
      <w:r>
        <w:rPr>
          <w:b/>
        </w:rPr>
        <w:t>E. 6</w:t>
      </w:r>
    </w:p>
    <w:p>
      <w:r>
        <w:t>Il ressort de la motivation du jugement attaqué que des juges cantonaux considèrent l'évaluation psychiatrique réalisée par le docteur O.________ comme incomplète (voire non convaincante), raison pour laquelle ils ont procédé au renvoi de la cause pour expertise psychiatrique afin de confirmer ou infirmer les diagnostics retenus et déterminer s'il y a une incapacité de travail d'origine psychique en lien de causalité naturelle avec l'accident depuis le 9 décembre 2008. En l'occurrence, si l'on peut partager les réserves qu'ils ont émises sur le caractère probant de cette évaluation qui est, il est vrai, insuffisamment étayée quant aux diagnostics énoncés et, en tout état de cause, incomplète pour trancher la question posée, on ne saurait pour autant confirmer leur jugement dans son entier.</w:t>
      </w:r>
    </w:p>
    <w:p>
      <w:r>
        <w:t>La Cour de céans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ne soient élucidées au moyen d'une expertise psychiatrique concluante (arrêt 8C_685/2015 du 13 septembre 2016 in SVR 2017 UV n° 4 p. 11).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Par contre, il est admissible de laisser ouverte la question du rapport de causalité naturelle dans les cas où ce lien de causalité ne peut de toute façon pas être qualifié d'adéquat dès lors que ces conditions doivent être cumulées pour l'octroi des prestations ( ATF 135 V 465 consid. 5.1 p. 472).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w:t>
      </w:r>
    </w:p>
    <w:p>
      <w:r>
        <w:t>En l'occurrence, pour ces mêmes raisons, il est prématuré que la Cour de céans se prononce sur les griefs soulevés par la CNA. Un tel examen n'aurait de sens que si l'on pouvait d'emblée nier l'existence d'un rapport de causalité adéquate, ce qui n'est pas le cas en l'espèce. Sans préjuger de cette question, il convient donc d'annuler les chiffres I et II du dispositif du jugement cantonal qui renvoie aux considérants sur la question de la causalité adéquate. Une expertise psychiatrique dans le sens ordonné par l'autorité cantonale étant toutefois nécessaire comme on vient de le dire, la cause sera retournée à la CNA pour ce faire. En fonction du résultat de cette expertise, celle-ci se prononcera à nouveau sur le lien de causalité adéquate. Après quoi, elle rendra une nouvelle décision sur le droit aux prestations de l'intimé. En revanche, l'issue du litige n'a pas d'incidence sur la répartition des dépens de première instance ( art. 67 et 68 al. 1 LTF ) du moment qu'un renvoi pour expertise était justifié au stade de la procédure cantonale. Il n'y a donc pas lieu d'annuler le chiffre IV du dispositif y relatif.</w:t>
      </w:r>
    </w:p>
    <w:p>
      <w:r>
        <w:t>Dans cette mesure, le recours se révèle bien fondé.</w:t>
      </w:r>
    </w:p>
    <w:p>
      <w:r>
        <w:rPr>
          <w:b/>
        </w:rPr>
        <w:t>E. 7</w:t>
      </w:r>
    </w:p>
    <w:p>
      <w:r>
        <w:t>Compte tenu de l'issue du litige, les frais de justice seront répartis par moitié entre la CNA et l'intimé ( art. 66 al. 1 LTF ). Par ailleurs, ce dernier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