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8C_191/2013 vom 16. August 2013</w:t>
      </w:r>
    </w:p>
    <w:p>
      <w:r>
        <w:t>Bundesgericht, 2013-08-16, DE</w:t>
      </w:r>
    </w:p>
    <w:p>
      <w:r>
        <w:rPr>
          <w:b/>
        </w:rPr>
        <w:t xml:space="preserve">Quelle: </w:t>
      </w:r>
      <w:r>
        <w:t>https://mcp.opencaselaw.ch/entscheid/bger_8C_191_2013</w:t>
      </w:r>
    </w:p>
    <w:p>
      <w:r>
        <w:t>FR: TF 8C_191/2013 du 16 août 2013</w:t>
      </w:r>
    </w:p>
    <w:p>
      <w:r>
        <w:t>IT: TF 8C_191/2013 del 16 agosto 2013</w:t>
      </w:r>
    </w:p>
    <w:p>
      <w:pPr>
        <w:pStyle w:val="Heading2"/>
      </w:pPr>
      <w:r>
        <w:t>Erwägungen</w:t>
      </w:r>
    </w:p>
    <w:p>
      <w:r>
        <w:rPr>
          <w:b/>
        </w:rPr>
        <w:t>E. 1.1</w:t>
      </w:r>
    </w:p>
    <w:p>
      <w:r>
        <w:t>Mit der Beschwerde kann eine Rechtsverletzung nach Art. 95 f. BGG geltend gemacht werden. 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(dazu E. 1.2 f.) ist oder auf einer Rechtsverletzung im Sinne von Art. 95 BGG beruht, und wenn die Behebung des Mangels für den Ausgang des Verfahrens entscheidend sein kann (Art. 97 Abs. 1 in Verbindung mit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9C_734/2010 vom 21. Oktober 2010 E. 3; SVR 2012 BVG Nr. 11 S. 44, 9C_779/2010 E. 1.1.1 [nicht publiziert in: BGE 137 V 446 ]).</w:t>
      </w:r>
    </w:p>
    <w:p>
      <w:r>
        <w:rPr>
          <w:b/>
        </w:rPr>
        <w:t>E. 1.3</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ist die revisionsweise Aufhebung der Invalidenrente.</w:t>
      </w:r>
    </w:p>
    <w:p>
      <w:r>
        <w:rPr>
          <w:b/>
        </w:rPr>
        <w:t>E. 3</w:t>
      </w:r>
    </w:p>
    <w:p>
      <w:r>
        <w:t>Die Vorinstanz hat die Grundlagen über die Begriffe der Invalidität ( Art. 8 Abs. 1 ATSG , Art. 4 Abs. 1 IVG ) und Erwerbsfähigkeit ( Art. 7 Abs. 1 ATSG ) sowie über den Rentenanspruch ( Art. 28 Abs. 2 IVG ) und die Rentenrevision ( Art. 17 Abs. 1 ATSG ; Art. 86ter-88bis IVV ; BGE 134 V 131 E. 3 S. 132, 133 V 108) richtig dargelegt. Darauf wird verwiesen.</w:t>
      </w:r>
    </w:p>
    <w:p>
      <w:r>
        <w:rPr>
          <w:b/>
        </w:rPr>
        <w:t>E. 4.1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4.2</w:t>
      </w:r>
    </w:p>
    <w:p>
      <w:r>
        <w:t>Zeitlicher Referenzpunkt für die Prüfung einer anspruchserheblichen Änderung bildet die letzte (der versicherten Person eröffnete) rechtskräftige Verfügung - hier unbestritten die Verfügungen vom 19. Februar und 11. März 2004 -,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4.3</w:t>
      </w:r>
    </w:p>
    <w:p>
      <w:r>
        <w:t>Stehen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der ihm gemäss Art. 77 IVV zumutbaren Meldepflicht nicht nachgekommen ist (Art. 85 Abs. 2 i.V.m. Art. 88bis Abs. 2 IVV ; UELI KIESER, ATSG-Kommentar, 2. Aufl. 2009, N. 15 zu Art. 25 ATSG ). Trifft dies zu, sind solcherart widerrechtlich bezogene Leistungen gemäss den Vorgaben von Art. 25 ATSG zurückzuerstatten (Urteil 9C_491/2012 vom 22. Mai 2013 E. 2.2).</w:t>
      </w:r>
    </w:p>
    <w:p>
      <w:r>
        <w:rPr>
          <w:b/>
        </w:rPr>
        <w:t>E. 5.1</w:t>
      </w:r>
    </w:p>
    <w:p>
      <w:r>
        <w:t>Der Beschwerdeführer behauptet, seit der ursprünglichen Verfügung über die Zusprechung einer ganzen Invalidenrente basierend auf einem Invaliditätsgrad von 71% sei keine anspruchsrelevante Änderung der tatsächlichen Verhältnisse eingetreten. Das Gutachten B.________ basiere auf einer unrechtmässigen Observation. Die tatsächlichen Feststellungen der Vorinstanz seien "teilweise offensichtlich unrichtig". Das Observationsvideo zeige zum Teil Aufnahmen aus dem Privatbereich. Diese rechtswidrigen Aufnahmen seien entscheidwesentlich. Die Vorinstanz hätte dem Privatgutachten des Rheumatologen Dr. med. C.________ vom 27. Juli 2011 (nachfolgend: Privatgutachten C.________) vollen Beweiswert zuerkennen müssen und nicht auf das Gutachten B.________ abstellen dürfen. Das Invalideneinkommen sei fehlerhaft ermittelt worden. Der korrekte Invaliditätsgrad betrage 73,08%. Subeventualiter habe die Aufhebung der Invalidenrente nicht rückwirkend auf den Zeitpunkt des Observationsbeginns vom 11. Februar 2010, sondern frühestens auf den Zeitpunkt des Verfügungserlasses vom 21. April 2011 hin zu erfolgen. Zusammenfassend trägt der Versicherte hier im invalidenversicherungsrechtlichen Verfahren betreffend Anfechtung der Rentenaufhebung im Wesentlichen die gleichen Einwände vor, welche er im parallel hängigen Verfahren betreffend Herabsetzung der UV-Rente geltend gemacht hat.</w:t>
      </w:r>
    </w:p>
    <w:p>
      <w:r>
        <w:rPr>
          <w:b/>
        </w:rPr>
        <w:t>E. 5.2</w:t>
      </w:r>
    </w:p>
    <w:p>
      <w:r>
        <w:t>Laut heute ergangenem Urteil im unfallversicherungsrechtlichen Parallelverfahren 8C_192/2013 wurde entschieden, dass sich das Gutachten B.________ auf verwertbare Observationsergebnisse abzustützen vermag, und dass die SUVA und das kantonale Gericht in bundesrechtskonformer Beweiswürdigung zu Recht basierend auf dem Gutachten B.________ auf eine volle Arbeitsfähigkeit in einer leidensangepassten leichten bis mittelschweren Tätigkeit erkannt haben; auf die dortigen Erwägungen (Urteil 8C_192/2013 vom 16. August 2013 E. 5.2 u. 6.4) kann verwiesen werden (vgl. Urteil 8C_829/2011 vom 9. März 2012 E. 6.2 mit Hinweis).</w:t>
      </w:r>
    </w:p>
    <w:p>
      <w:r>
        <w:rPr>
          <w:b/>
        </w:rPr>
        <w:t>E. 5.3</w:t>
      </w:r>
    </w:p>
    <w:p>
      <w:r>
        <w:t>Soweit der Beschwerdeführer im Übrigen hier grösstenteils gleich argumentiert wie im unfallversicherungsrechtlichen Parallelverfahren, scheint er die kognitionsrechtliche Ungleichbehandlung bei der bundesgerichtlichen Überprüfung von Entscheiden über die Zusprechung oder Verweigerung von Geldleistungen der Militär- und Unfallversicherung einerseits und von Leistungen der übrigen Sozialversicherungen andererseits (vgl. Art. 97 Abs. 2 und 105 Abs. 2 BGG) ausser Acht zu lassen. Inwiefern die übrigen Tatsachenfeststellungen der Vorinstanz zu den Gesundheitsschäden und zur verbleibenden Leistungsfähigkeit offensichtlich unrichtig oder sonst wie bundesrechtswidrig getroffen wurden, legt der Versicherte nicht dar.</w:t>
      </w:r>
    </w:p>
    <w:p>
      <w:r>
        <w:rPr>
          <w:b/>
        </w:rPr>
        <w:t>E. 5.4</w:t>
      </w:r>
    </w:p>
    <w:p>
      <w:r>
        <w:t>Auch zu den Vorbringen, welche sich gegen das von Verwaltung und Vorinstanz berücksichtigte Invalideneinkommen richten, ist auf das unfallversicherungsrechtliche Parallelverfahren 8C_192/2013 und die dortigen Erwägungen zu verwiesen (vgl. hievor E. 5.2 i.f.). Es bleibt demnach auch hier im Verfahren betreffend Aufhebung der Invalidenrente dabei, dass aus dem Vergleich des unbestrittenen Valideneinkommens mit dem korrekt ermittelten Invalideneinkommen jedenfalls ein anspruchausschliessender Invaliditätsgrad von deutlich weniger als 40% resultiert.</w:t>
      </w:r>
    </w:p>
    <w:p>
      <w:r>
        <w:rPr>
          <w:b/>
        </w:rPr>
        <w:t>E. 5.5.1</w:t>
      </w:r>
    </w:p>
    <w:p>
      <w:r>
        <w:t>Eine rückwirkende Aufhebung oder Berichtigung der Invalidenrente (ex tunc) und damit verbunden die - von der IV-Stelle hier mit Verfügung vom 21. April 2011 angekündigte Geltendmachung einer - Rückerstattung unrechtmässig bezogener Rentenbetreffnisse (Art. 25 Abs. 1 erster Satz ATSG in Verbindung mit Art. 1 Abs. 1 IVG ) greifen dann Platz, wenn der Tatbestand des Art. 88bis Abs. 2 lit. b IVV erfüllt ist. Danach erfolgt die revisionsweise Herabsetzung oder Aufhebung einer Invalidenrente rückwirkend vom Eintritt der für den Anspruch erheblichen Änderung an, wenn die unrichtige Ausrichtung der Leistung darauf zurückzuführen ist, dass der Bezüger sie unrechtmässig erwirkt hat oder der ihm gemäss Art. 77 IVV zumutbaren Meldepflicht nicht nachgekommen ist (vgl. BGE 136 V 45 E. 6.1 S. 47). Laut dieser Verordnungsbestimmung haben u.a. der Berechtigte oder sein gesetzlicher Vertreter jede für den Leistungsanspruch wesentliche Änderung, namentlich eine solche des Gesundheitszustandes, der Arbeits- oder Erwerbsfähigkeit, der Hilflosigkeit oder des invaliditätsbedingten Betreuungsaufwandes, des für den Ansatz der Hilflosenentschädigung massgebenden Aufenthaltsortes, der persönlichen und gegebenenfalls der wirtschaftlichen Verhältnisse des Versicherten unverzüglich der IV-Stelle anzuzeigen (Urteil 9C_570/2010 vom 8. September 2010 E. 3). Für den Tatbestand der Meldepflichtverletzung ist ein schuldhaftes Fehlverhalten erforderlich, wobei nach ständiger Rechtsprechung bereits eine leichte Fahrlässigkeit genügt ( BGE 119 V 431 E. 2 S. 432; 112 V 97 E. 2a S. 100; 110 V 176 E. 3c S. 180; 105 V 163 E. 6a S. 170; Urteil 8C_1042/2009 vom 12. April 2010 E. 2.2; Ulrich Meyer, Bundesgesetz über die Invalidenversicherung [IVG], 2. Auflage 2010, S. 406).</w:t>
      </w:r>
    </w:p>
    <w:p>
      <w:r>
        <w:rPr>
          <w:b/>
        </w:rPr>
        <w:t>E. 5.5.2</w:t>
      </w:r>
    </w:p>
    <w:p>
      <w:r>
        <w:t>Was den Zeitpunkt der Rentenaufhebung anbelangt, ist demnach entscheidend, ob der Beschwerdeführer die Leistungen unrechtmässig erwirkte oder die ihm obliegende Meldepflicht verletzte (E. 4.3). Insbesondere in Bezug auf diese - mit einer Strafdrohung verbundenen ( Art. 70 IVG in Verbindung mit Art. 87 Abs. 1 und 5 AHVG ) - Tatbestände hat die IV-Stelle am 8. Dezember 2010 beim Polizeiposten Arbon Strafanzeige unter anderem wegen Verletzung der Meldepflicht eingereicht. Die IV-Stelle wies in der Verfügung vom 21. April 2011 ausdrücklich auf die Meldepflicht von Art. 77 IVV hin und stellte fest, dass der Versicherte ab Observationsbeginn vom 11. Februar 2010 unter Vorspiegelung falscher Tatsachen unrechtmässig eine ganze Invalidenrente bezogen habe, weshalb die Rente rückwirkend per 11. Februar 2010 aufzuheben sei.</w:t>
      </w:r>
    </w:p>
    <w:p>
      <w:r>
        <w:rPr>
          <w:b/>
        </w:rPr>
        <w:t>E. 5.5.3</w:t>
      </w:r>
    </w:p>
    <w:p>
      <w:r>
        <w:t>Gegen diese Tatsachenfeststellungen erhob der Beschwerdeführer im kantonalen Verfahren keine Einwände. Hinsichtlich der Zulässigkeit des erstmals vor Bundesgericht neu gestellten Subeventualbegehrens, wonach die Rente erst per 11. April 2011 aufzuheben sei, wird auf die hier analog gleichermassen zutreffenden Erwägungen im ebenfalls heute vom Bundesgericht beurteilten unfallversicherungsrechtlichen Parallelverfahren 8C_192/2013 verwiesen (vgl. hievor E. 5.2 i.f.). Demnach ist auf das unbegründete Subeventualbegehren mangels zulässiger neuer Tatsachenvorbringen nicht einzutreten.</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