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8C_190/2026 vom 26. März 2026</w:t>
      </w:r>
    </w:p>
    <w:p>
      <w:r>
        <w:t>Bundesgericht, 2026-03-26, DE</w:t>
      </w:r>
    </w:p>
    <w:p>
      <w:r>
        <w:rPr>
          <w:b/>
        </w:rPr>
        <w:t xml:space="preserve">Quelle: </w:t>
      </w:r>
      <w:r>
        <w:t>https://mcp.opencaselaw.ch/entscheid/bger_8C_190_2026</w:t>
      </w:r>
    </w:p>
    <w:p>
      <w:r>
        <w:t>FR: TF 8C_190/2026 du 26 mars 2026</w:t>
      </w:r>
    </w:p>
    <w:p>
      <w:r>
        <w:t>IT: TF 8C_190/2026 del 26 marzo 2026</w:t>
      </w:r>
    </w:p>
    <w:p>
      <w:pPr>
        <w:pStyle w:val="Heading2"/>
      </w:pPr>
      <w:r>
        <w:t>Erwägungen</w:t>
      </w:r>
    </w:p>
    <w:p>
      <w:r>
        <w:rPr>
          <w:b/>
        </w:rPr>
        <w:t>E. 1.1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1.2</w:t>
      </w:r>
    </w:p>
    <w:p>
      <w:r>
        <w:t>Rechtsmittelfristen als gesetzliche Fristen sind nicht erstreckbar ( Art. 47 Abs. 1 BGG ). Innert einer solchen Frist muss eine den oben aufgezeigten Begründungsanforderungen genügende Beschwerde eingereicht sein. Ein Gesuch um unentgeltliche Rechtspflege vermag daran nichts zu ändern (statt vieler vgl. Urteile 8C_701/2024 vom 5. Dezember 2024 E. 2 und 8C_735/2023 vom 20. November 2023 E. 3; je mit Hinweisen).</w:t>
      </w:r>
    </w:p>
    <w:p>
      <w:r>
        <w:rPr>
          <w:b/>
        </w:rPr>
        <w:t>E. 2</w:t>
      </w:r>
    </w:p>
    <w:p>
      <w:r>
        <w:t>Das kantonale Gericht legte im Urteil vom 10. Februar 2026 dar, weshalb die Beschwerdegegnerin mit Verfügung vom 24. Februar 2025 von einem fehlenden Anspruch auf eine Invalidenrente ausgehen durfte. Dabei stellte es massgeblich auf das von der Beschwerdegegnerin bei der SMAB AG eingeholte polydisziplinäre Gutachten vom 12. Februar 2024 ab. Es legte eingehend dar, weshalb die Vorbringen des Beschwerdeführers daran nichts zu ändern vermochten.</w:t>
      </w:r>
    </w:p>
    <w:p>
      <w:r>
        <w:rPr>
          <w:b/>
        </w:rPr>
        <w:t>E. 3</w:t>
      </w:r>
    </w:p>
    <w:p>
      <w:r>
        <w:t>Der Beschwerdeführer zeigt nicht auf, inwieweit die von der Vorinstanz getroffenen Sachverhaltsfeststellungen offensichtlich unrichtig (vgl. Art. 97 Abs. 1 BGG ) - mithin willkürlich ( BGE 146 IV 88 E. 1.3.1 f. und 140 III 115 E. 2; je mit Hinweisen) - oder sonstwie bundesrechtswidrig sein sollen. Ebenso wenig bringt er vor, weshalb die darauf beruhenden Erwägungen gegen Bundesrecht verstossen oder einen anderen Beschwerdegrund (vgl. Art. 95 lit. a-e BGG ) gesetzt haben könnten. Allein den Gesundheitszustand aus eigener Sicht wiederzugeben und pauschal die Verletzung verschiedener Verfahrensbestimmungen zu rügen, ohne sich zugleich mit den vorinstanzlichen Erwägungen näher auseinanderzusetzen, reicht vor Bundesgericht nicht aus. Ebenso wenig genügt es, allgemein weitere Abklärungen zu verlangen.</w:t>
      </w:r>
    </w:p>
    <w:p>
      <w:r>
        <w:rPr>
          <w:b/>
        </w:rPr>
        <w:t>E. 4</w:t>
      </w:r>
    </w:p>
    <w:p>
      <w:r>
        <w:t>Da dieser Begründungsmangel offensichtlich ist, führt dies zu einem Nichteintreten auf das Rechtsmittel im vereinfachten Verfahren nach Art. 108 Abs. 1 lit. b BGG .</w:t>
      </w:r>
    </w:p>
    <w:p>
      <w:r>
        <w:rPr>
          <w:b/>
        </w:rPr>
        <w:t>E. 5</w:t>
      </w:r>
    </w:p>
    <w:p>
      <w:r>
        <w:t>Das Gesuch um unentgeltliche Rechtspflege ist wegen aussichtsloser Beschwerdeführung abzuweisen ( Art. 64 Abs. 1 BGG ).</w:t>
      </w:r>
    </w:p>
    <w:p>
      <w:r>
        <w:t>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