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8C_190/2024 vom 16. April 2024</w:t>
      </w:r>
    </w:p>
    <w:p>
      <w:r>
        <w:t>Bundesgericht, 2024-04-16, DE</w:t>
      </w:r>
    </w:p>
    <w:p>
      <w:r>
        <w:rPr>
          <w:b/>
        </w:rPr>
        <w:t xml:space="preserve">Quelle: </w:t>
      </w:r>
      <w:r>
        <w:t>https://mcp.opencaselaw.ch/entscheid/bger_8C_190_2024</w:t>
      </w:r>
    </w:p>
    <w:p>
      <w:r>
        <w:t>FR: TF 8C_190/2024 du 16 avril 2024</w:t>
      </w:r>
    </w:p>
    <w:p>
      <w:r>
        <w:t>IT: TF 8C_190/2024 del 16 aprile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Entscheid vom 22. Februar 2024 auf die am 12. Dezember 2023 gegen den Einspracheentscheid der Beschwerdegegnerin vom 8. November 2023 erhobene Beschwerde, weil erst nach Ablauf der Rechtsmittelfrist eingereicht, nicht ein. Dabei legte es in Auseinandersetzung mit dem in der Stellungnahme zur Rechtzeitigkeit der Beschwerde vom 9. Januar 2024 Vorgetragenen und in Würdigung der Beweismittel näher dar, weshalb die Beschwerde als verspätet gilt und dass die Voraussetzungen für die Wiederherstellung der versäumten Frist nach Art. 60 Abs. 2 ATSG in Verbindung mit Art. 41 ATSG nicht erfüllt sind.</w:t>
      </w:r>
    </w:p>
    <w:p>
      <w:r>
        <w:rPr>
          <w:b/>
        </w:rPr>
        <w:t>E. 3</w:t>
      </w:r>
    </w:p>
    <w:p>
      <w:r>
        <w:t>Was der Beschwerdeführer dagegen vorträgt, vermag - soweit es sich überhaupt auf die Eintretensfrage bezieht - den eingangs aufgezeigten Begründungsanforderungen nicht zu genügen. So hat das kantonale Gericht etwa unter Verweis auf die (bundesgerichtliche) Rechtsprechung ausgeführt, dass im Unterschied zu den im Strafprozess geltenden Regeln bei Sozialversicherungsstreitigkeiten keine qualifizierten Zustellvorschriften gelten, weshalb die Einlage einer A-Post-Plus-Sendung in den Briefkasten des Adressaten die Rechtsmittelfrist ungeachtet der effektiven Kenntnisnahme auslöst. Dies allein als "hanebüchen und ein Buebe-Trickli" zu bezeichnen, reicht nicht aus. Insgesamt genügt nicht, bereits vor Vorinstanz Vorgetragenes zu wiederholen, ohne auf das dazu Erwogene näher einzugehen und dabei aufzuzeigen, inwieweit die von der Vorinstanz getroffenen Sachverhaltsfeststellungen - soweit überhaupt beanstandet - offensichtlich unrichtig im Sinne von Art. 97 Abs. 1 BGG , das heisst willkürlich ( BGE 146 IV 88 E. 1.3.1 f.; 140 III 115 E. 2; je mit Hinweisen), und die darauf beruhenden Erwägungen rechtsfehlerhaft sein sollen.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der Beschwerdeergänzung vom 5. April 2024 (Poststempel)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