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8C_190/2010 vom 19. März 2010</w:t>
      </w:r>
    </w:p>
    <w:p>
      <w:r>
        <w:t>Bundesgericht, 2010-03-19, DE</w:t>
      </w:r>
    </w:p>
    <w:p>
      <w:r>
        <w:rPr>
          <w:b/>
        </w:rPr>
        <w:t xml:space="preserve">Quelle: </w:t>
      </w:r>
      <w:r>
        <w:t>https://mcp.opencaselaw.ch/entscheid/bger_8C_190_2010</w:t>
      </w:r>
    </w:p>
    <w:p>
      <w:r>
        <w:t>FR: TF 8C_190/2010 du 19 mars 2010</w:t>
      </w:r>
    </w:p>
    <w:p>
      <w:r>
        <w:t>IT: TF 8C_190/2010 del 19 marzo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Umstritten und zu prüfen ist der Rentenanspruch des Beschwerdegegners. Die Vorinstanz hat die hiefür massgebenden Bestimmungen und Grundsätze einschliesslich der Rechtsprechung zutreffend dargelegt. Darauf wird verwiesen.</w:t>
      </w:r>
    </w:p>
    <w:p>
      <w:r>
        <w:rPr>
          <w:b/>
        </w:rPr>
        <w:t>E. 3.1</w:t>
      </w:r>
    </w:p>
    <w:p>
      <w:r>
        <w:t>Das kantonale Gericht hat durch Einkommensvergleich ( Art. 16 ATSG in Verbindung mit Art. 28a Abs. 1 IVG ) einen Invaliditätsgrad von 45 % ermittelt, was Anspruch auf eine Viertelsrente gibt ( Art. 28 Abs. 2 IVG ). Dabei hat es das - unbestritten gebliebene - hypothetische Einkommen ohne Invalidität (Valideneinkommen) in Einklang mit der Beschwerdeführerin - unter Berücksichtigung der Nominallohnentwicklung 2004 bis 2006 - auf Fr. 86'145.- festgesetzt. Das Invalideneinkommen berechnete die Vorinstanz anhand der Tabellen gemäss der Schweizerischen Lohnstrukturerhebung (LSE) des Bundesamtes für Statistik. Als massgebend erachtete das Gericht - entgegen der Auffassung der Beschwerde führenden IV-Stelle - nicht die Tabelle TA1, Immobilienwesen, Anforderungsniveau 3, sondern das Total aller Branchen, Anforderungsniveau 4, was angesichts des Zumutbarkeitsprofils sowie der bisherigen Tätigkeit und Qualifikation des Versicherten - im Gegensatz zu dem, was die IV-Stelle in der letztinstanzlichen Beschwerde anzunehmen scheint - gerechtfertigt ist. Aus diesem Einkommen von Fr. 59'197.- ermittelte die Vorinstanz unter Berücksichtigung der wöchentlichen Arbeitszeit von 41,7 Stunden und nach Vornahme eines leidensbedingten Abzugs von 20 % ein Invalideneinkommen von Fr. 47'358.-.</w:t>
      </w:r>
    </w:p>
    <w:p>
      <w:r>
        <w:rPr>
          <w:b/>
        </w:rPr>
        <w:t>E. 3.2</w:t>
      </w:r>
    </w:p>
    <w:p>
      <w:r>
        <w:t>Die Beschwerde führende IV-Stelle rügt zur Hauptsache einzig, der vom kantonalen Gericht vorgenommene leidensbedingte Abzug von 20 % sei nicht gerechtfertigt. Die von der Vorinstanz dabei berücksichtigten Gesichtspunkte, d.h. die Anforderungen an die leidensangepasste Tätigkeit, das fortgeschrittene Alter und die lange Betriebszugehörigkeit, vermöchten die Höhe des Abzuges nicht zu begründen; vielmehr erscheine ein Abzug von 10 % als durchaus angemessen.</w:t>
      </w:r>
    </w:p>
    <w:p>
      <w:r>
        <w:rPr>
          <w:b/>
        </w:rPr>
        <w:t>E. 3.3</w:t>
      </w:r>
    </w:p>
    <w:p>
      <w:r>
        <w:t>Die Frage nach der Höhe des im vorliegenden Fall angezeigten Abzuges betrifft nach der Rechtsprechung eine typische Ermessensfrage, deren Beantwortung letztinstanzlicher Korrektur nur dort zugänglich ist, wo das kantonale Gericht das Ermessen rechtsfehlerhaft ausgeübt hat, also Ermessensüberschreitung, -missbrauch oder -unterschreitung vorliegt (vgl. BGE 132 V 393 E. 3.3 in fine S. 399; Urteil 9C_973/2008 vom 19. Januar 2009 E. 3). Ermessensmissbrauch ist gegeben, wenn eine Behörde zwar im Rahmen des ihr eingeräumten Ermessens bleibt, sich aber von unsachlichen, dem Zweck der massgebenden Vorschriften fremden Erwägungen leiten lässt oder allgemeine Rechtsprinzipien, wie das Verbot von Willkür oder rechtsungleicher Behandlung, das Gebot von Treu und Glauben sowie den Grundsatz der Verhältnismässigkeit verletzt ( BGE 123 V 150 E. 2 S. 152 mit Hinweisen). Ermessensüberschreitung liegt dagegen vor, wenn eine Behörde Ermessen walten lässt, wo ihr das Gesetz keines einräumt, oder wo sie statt von zwei zulässigen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116 V 307 E. 2 S. 310). Eine willkürliche und damit missbräuchliche Ermessensausübung liegt nach der Rechtsprechung vor, wenn ein Entscheid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fällt oder sogar vorzuziehen wäre ( BGE 131 I 57 E. 2 S. 61; vgl. auch SVR 2006 ALV Nr. 15 S. 51 E. 4.3 [C 223/05] und BVG Nr. 26 S. 98 E. 11.1.2 [B 15/05], je mit Hinweisen).</w:t>
      </w:r>
    </w:p>
    <w:p>
      <w:r>
        <w:rPr>
          <w:b/>
        </w:rPr>
        <w:t>E. 3.4</w:t>
      </w:r>
    </w:p>
    <w:p>
      <w:r>
        <w:t>Diese Voraussetzungen für eine letztinstanzliche Korrektur rechtsfehlerhafter Ermessensbetätigung durch das kantonale Gericht sind hier nicht erfüllt. Zwar wendet die IV-Stelle in der Beschwerde ein, dass sich das fortgeschrittene Alter im Bereich der Hilfsarbeiten auf dem hypothetischen ausgeglichenen Arbeitsmarkt grundsätzlich ebenso wenig zwingend lohnsenkend auswirkt wie die lange Betriebszugehörigkeit, was an sich zutrifft. Indessen unterliegen doch die an die leidensangepassten Tätigkeiten zu stellenden Anforderungen beim Versicherten diversen Einschränkungen, wie sich namentlich aus dem von Beschwerdeführerin und Vorinstanz zu Recht als massgebend erachteten Gutachten der medizinischen Begutachtungsstelle X._________ vom 10. Oktober 2007 ergibt. Wenn die Vorinstanz im angefochtenen Entscheid gestützt hierauf (vgl. E. 4.1 f. und 5.3 in fine) den Abzug vom Tabellenlohn gesamthaft auf 20 % festgelegt hat, so kann ihr kein ermessensmissbräuchliches Handeln vorgeworfen werden (vgl. dazu vorstehende E. 3.3). Es muss daher bei der im Übrigen unbestritten gebliebenen Rentenzusprechung gemäss vorinstanzlichem Entscheid sein Bewenden haben.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