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8C_18/2025 vom 12. Februar 2025</w:t>
      </w:r>
    </w:p>
    <w:p>
      <w:r>
        <w:t>Bundesgericht, 2025-02-12, FR</w:t>
      </w:r>
    </w:p>
    <w:p>
      <w:r>
        <w:rPr>
          <w:b/>
        </w:rPr>
        <w:t xml:space="preserve">Quelle: </w:t>
      </w:r>
      <w:r>
        <w:t>https://mcp.opencaselaw.ch/entscheid/bger_8C_18_2025</w:t>
      </w:r>
    </w:p>
    <w:p>
      <w:r>
        <w:t>FR: TF 8C_18/2025 du 12 février 2025</w:t>
      </w:r>
    </w:p>
    <w:p>
      <w:r>
        <w:t>IT: TF 8C_18/2025 del 12 febbraio 2025</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Dans leur arrêt, les juges cantonaux se sont - à l'instar de l'intimée - ralliés à l'expertise du docteur B.________, spécialiste en médecine physique et réadaptation, qui avait estimé que la capacité de travail de la recourante dans son activité habituelle de femme de ménage était nulle, mais qu'elle disposait d'une pleine capacité de travail dans une activité adaptée à ses limitations fonctionnelles à partir du 10 septembre 2022. Selon cet expert, les séquelles du SDRC justifiaient en outre une IPAI de 10 %. La cour cantonale a relevé que l'appréciation du docteur B.________ reposait sur une évaluation médicale complète et approfondie, et que la recourante ne se prévalait d'aucun avis médical mentionnant des éléments objectivement vérifiables qui auraient été ignorés par l'expert. Par ailleurs, d'autres médecins avaient considéré que la recourante bénéficiait d'une capacité de travail totale dans une activité adaptée, en décrivant des restrictions fonctionnelles similaires à celles retenues par l'expert.</w:t>
      </w:r>
    </w:p>
    <w:p>
      <w:r>
        <w:rPr>
          <w:b/>
        </w:rPr>
        <w:t>E. 2.2</w:t>
      </w:r>
    </w:p>
    <w:p>
      <w:r>
        <w:t>Dans son écriture, la recourante se plaint de ses difficultés à trouver un emploi adapté à ses restrictions fonctionnelles, de la précarité financière de sa famille ainsi que de troubles psychiques. Le recours ne contient toutefois aucune critique à l'encontre de l'arrêt cantonal. La recourante n'expose notamment pas pour quelle raison l'expertise du docteur B.________ - qui a retenu une capacité de travail dans une activité adaptée - serait dénuée de toute valeur probante ou non convaincante. À ce titre, elle ne se prévaut pas du moindre avis médical divergent mettant en doute l'appréciation de l'expert, que ce soit sous l'angle de la capacité de travail dans une activité adaptée ou de l'IPAI. Le recours, qui ne contient pas non plus de conclusions,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