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8C_18/2016 vom 15. März 2016</w:t>
      </w:r>
    </w:p>
    <w:p>
      <w:r>
        <w:t>Bundesgericht, 2016-03-15, DE</w:t>
      </w:r>
    </w:p>
    <w:p>
      <w:r>
        <w:rPr>
          <w:b/>
        </w:rPr>
        <w:t xml:space="preserve">Quelle: </w:t>
      </w:r>
      <w:r>
        <w:t>https://mcp.opencaselaw.ch/entscheid/bger_8C_18_2016</w:t>
      </w:r>
    </w:p>
    <w:p>
      <w:r>
        <w:t>FR: TF 8C_18/2016 du 15 mars 2016</w:t>
      </w:r>
    </w:p>
    <w:p>
      <w:r>
        <w:t>IT: TF 8C_18/2016 del 15 marzo 2016</w:t>
      </w:r>
    </w:p>
    <w:p>
      <w:pPr>
        <w:pStyle w:val="Heading2"/>
      </w:pPr>
      <w:r>
        <w:t>Erwägungen</w:t>
      </w:r>
    </w:p>
    <w:p>
      <w:r>
        <w:rPr>
          <w:b/>
        </w:rPr>
        <w:t>E. 1</w:t>
      </w:r>
    </w:p>
    <w:p>
      <w:r>
        <w:t>Angefochten ist ein Entscheid über die unentgeltliche Verbeiständung im Verwaltungsverfahren.</w:t>
      </w:r>
    </w:p>
    <w:p>
      <w:r>
        <w:rPr>
          <w:b/>
        </w:rPr>
        <w:t>E. 2</w:t>
      </w:r>
    </w:p>
    <w:p>
      <w:r>
        <w:t>Ungeachtet dessen, dass die Verwaltung über diese Frage erst nach dem Entscheid in der Sache in einer separaten Verfügung befunden hat, handelt es sich aus letztinstanzlicher Sicht um einen Zwischenentscheid im Sinne von Art. 93 BGG , steht doch die Sache selbst nach wie vor vor Vorinstanz im Streit, ist mithin noch nicht abgeschlossen. Zweck von Art. 93 BGG ist es, zu verhindern, dass sich das Bundesgericht (ohne Not) mit einer Angelegenheit mehr als einmal zu befassen hat (vgl. BGE 139 V 600 E. 2).</w:t>
      </w:r>
    </w:p>
    <w:p>
      <w:r>
        <w:rPr>
          <w:b/>
        </w:rPr>
        <w:t>E. 3</w:t>
      </w:r>
    </w:p>
    <w:p>
      <w:r>
        <w:t>Die Beschwerde gegen selbstständig eröffnete Vor- und Zwischenentscheide ist laut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3.1</w:t>
      </w:r>
    </w:p>
    <w:p>
      <w:r>
        <w:t>Weder wird näher dargetan noch ist ersichtlich, inwiefern der angefochtene Entscheid einen nicht wiedergutzumachenden Nachteil im Sinne von lit. a bewirken kann, ist doch das Verwaltungsverfahren, bei welchem die unentgeltliche Verbeiständung Prozessthema war, bereits abgeschlossen (Näheres dazu siehe BGE 139 V 600 E. 2.3    S. 603, 607 E. 3.2 mit Hinweisen; Urteil 8C_61/2014 vom 5. März 2014). Die Voraussetzungen von lit. b zur Beschwerdeführung gegen einen Zwischenentscheid sind offenkundig ebenfalls nicht erfüllt.</w:t>
      </w:r>
    </w:p>
    <w:p>
      <w:r>
        <w:rPr>
          <w:b/>
        </w:rPr>
        <w:t>E. 3.2</w:t>
      </w:r>
    </w:p>
    <w:p>
      <w:r>
        <w:t>Die Beschwerdeführerin wird, sofern zu den einzelnen Vorbringen überhaupt legitimiert, das vorliegend Thematisierte nach Massgabe von Art. 93 Abs. 3 BGG mit Beschwerde gegen den Endentscheid vorbringen können.</w:t>
      </w:r>
    </w:p>
    <w:p>
      <w:r>
        <w:t>Auf die Beschwerde ist demnach nicht einzutreten.</w:t>
      </w:r>
    </w:p>
    <w:p>
      <w:r>
        <w:rPr>
          <w:b/>
        </w:rPr>
        <w:t>E. 4</w:t>
      </w:r>
    </w:p>
    <w:p>
      <w:r>
        <w:t>Dem Gesuch um unentgeltliche Rechtspflege im bundesgerichtlichen Verfahren kann nicht entsprochen werden ( Art. 64 BGG ), da die Beschwerde von vornherein aussichtslos war. Indessen wird ausnahmsweise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