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8C_18/2011 vom 7. Februar 2012</w:t>
      </w:r>
    </w:p>
    <w:p>
      <w:r>
        <w:t>Bundesgericht, 2012-02-07, FR</w:t>
      </w:r>
    </w:p>
    <w:p>
      <w:r>
        <w:rPr>
          <w:b/>
        </w:rPr>
        <w:t xml:space="preserve">Quelle: </w:t>
      </w:r>
      <w:r>
        <w:t>https://mcp.opencaselaw.ch/entscheid/bger_8C_18_2011</w:t>
      </w:r>
    </w:p>
    <w:p>
      <w:r>
        <w:t>FR: TF 8C_18/2011 du 7 février 2012</w:t>
      </w:r>
    </w:p>
    <w:p>
      <w:r>
        <w:t>IT: TF 8C_18/2011 del 7 febbraio 2012</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litige soumis à l'autorité cantonale ne porte pas sur le versement d'une somme d'argent, mais sur l'annulation d'une décision de licenciement. Dans cette mesure, on peut considérer qu'il s'agit d'une contestation pécuniaire, et le motif d'exclusion de l' art. 83 let . g LTF n'entre pas en considération (voir par exemple les arrêts 8C_907/2010 du 8 juillet 2011 consid. 1.1 et 8C_170/2009 du 25 août 2009 consid. 1.1).</w:t>
      </w:r>
    </w:p>
    <w:p>
      <w:r>
        <w:rPr>
          <w:b/>
        </w:rPr>
        <w:t>E. 1.2</w:t>
      </w:r>
    </w:p>
    <w:p>
      <w:r>
        <w:t>Pour que le recours soit recevable, il faut encore, en principe, que la valeur litigieuse minimale de 15'000 fr. soit atteinte ( art. 85 al. 1 let. b LTF ). Vu que la contestation porte potentiellement sur le salaire de plusieurs mois, voire plusieurs années, le seuil de la valeur litigieuse déterminante est donc largement dépassé.</w:t>
      </w:r>
    </w:p>
    <w:p>
      <w:r>
        <w:rPr>
          <w:b/>
        </w:rPr>
        <w:t>E. 1.3</w:t>
      </w:r>
    </w:p>
    <w:p>
      <w:r>
        <w:t>Selon l' art. 89 al. 2 let . c LTF, les communes et autres collectivités publiques ont qualité pour recourir en invoquant la violation de garanties qui leur sont reconnues par les constitutions cantonale ou fédérale. La municipalité invoque l'autonomie qui lui est reconnue dans le domaine de la gestion du personnel. Il y a donc lieu de lui reconnaître la qualité pour agir sur la base déjà de cette disposition. Au reste, la recourante peut également agir sur la base de l' art. 89 al. 1 LTF , en tant qu'elle est touchée de manière analogue à un employeur privé (cf. ATF 134 I 204 consid. 2.3 p. 207).</w:t>
      </w:r>
    </w:p>
    <w:p>
      <w:r>
        <w:rPr>
          <w:b/>
        </w:rPr>
        <w:t>E. 1.4</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w:t>
      </w:r>
    </w:p>
    <w:p>
      <w:r>
        <w:rPr>
          <w:b/>
        </w:rPr>
        <w:t>E. 2.1</w:t>
      </w:r>
    </w:p>
    <w:p>
      <w:r>
        <w:t>Sous le chapitre «Cessation des fonctions» et le titre marginal «Renvoi pour justes motifs», l'art. 70 RPAC (état au 1er février 2007) prévoit que la municipalité peut en tout temps licencier un fonctionnaire pour de justes motifs en l'avisant trois mois à l'avance au moins si la nature des motifs ou de la fonction n'exige pas un départ immédiat (al. 1). D'après l'alinéa 2, constituent de justes motifs l'incapacité ou l'insuffisance dans l'exercice de la fonction et toutes autres circonstances qui font que, selon les règles de la bonne foi, la poursuite des rapports de service ne peut être exigée.</w:t>
      </w:r>
    </w:p>
    <w:p>
      <w:r>
        <w:rPr>
          <w:b/>
        </w:rPr>
        <w:t>E. 2.2</w:t>
      </w:r>
    </w:p>
    <w:p>
      <w:r>
        <w:t>L'art. 71bis RPAC prévoit une mise en demeure pour les cas où un licenciement avec effet immédiat ne s'impose pas. Le licenciement doit alors être précédé d'une mise en demeure formelle écrite, assortie d'une menace de licenciement si le fonctionnaire ne remédie pas à la situation. Selon les circonstances, cette mise en demeure peut être répétée à plusieurs reprises.</w:t>
      </w:r>
    </w:p>
    <w:p>
      <w:r>
        <w:rPr>
          <w:b/>
        </w:rPr>
        <w:t>E. 2.3</w:t>
      </w:r>
    </w:p>
    <w:p>
      <w:r>
        <w:t>Enfin, si la nature des justes motifs le permet, la municipalité peut ordonner, à la place du licenciement, le déplacement du fonctionnaire dans une autre fonction (art. 72 RPAC).</w:t>
      </w:r>
    </w:p>
    <w:p>
      <w:r>
        <w:rPr>
          <w:b/>
        </w:rPr>
        <w:t>E. 3</w:t>
      </w:r>
    </w:p>
    <w:p>
      <w:r>
        <w:t>Le jugement attaqué repose sur une double motivation.</w:t>
      </w:r>
    </w:p>
    <w:p>
      <w:r>
        <w:rPr>
          <w:b/>
        </w:rPr>
        <w:t>E. 3.1</w:t>
      </w:r>
    </w:p>
    <w:p>
      <w:r>
        <w:t>En premier lieu, la juridiction cantonale a considéré que les insuffisances professionnelles invoquées par l'employeur pour justifier le licenciement de A.________ n'étaient pas suffisamment étayées. En particulier, la municipalité avait échoué à établir que la prénommée effectuait des enquêtes lacunaires et peu fiables dès lors qu'elle n'avait avancé aucun chiffre concret permettant d'évaluer la proportion d'enquêtes retournées à A.________, et renoncé à l'audition des gestionnaires PC supposés mécontents du travail de celle-ci. La même conclusion s'imposait en ce qui concernait les erreurs d'orthographe, les retards dans le traitement des dossiers ou encore le volume de travail insatisfaisant, faute pour l'employeur d'avoir mis à disposition du tribunal des éléments de preuve tels que des courriers rédigés par A.________ et des statistiques sur le nombre d'enquêtes qui lui étaient attribuées par rapport à ses autres collègues ou sur les retards qui lui étaient imputables. Quant aux reproches liés aux difficultés de l'intéressée à se conformer aux directives reçues - par exemple celles relatives à l'horaire de passage au domicile des assurés - et à son manque d'autonomie dans le travail, ils étaient certes documentés au dossier mais ne présentaient pas un caractère de gravité suffisant pour entraîner un renvoi.</w:t>
      </w:r>
    </w:p>
    <w:p>
      <w:r>
        <w:rPr>
          <w:b/>
        </w:rPr>
        <w:t>E. 3.2</w:t>
      </w:r>
    </w:p>
    <w:p>
      <w:r>
        <w:t>En second lieu, la juridiction cantonale a estimé que même s'il fallait reconnaître un travail insatisfaisant, le licenciement était abusif, l'employeur n'ayant pas satisfait à son devoir de protection de la personnalité de son employée. A cet égard, les premiers juges ont constaté que A.________ partageait son bureau avec S.________ et que celui-ci avait développé au fil du temps une animosité profonde à son égard, ce qui l'avait conduit, dès 2004, à surveiller ses faits et gestes et à émettre systématiquement des critiques sur son comportement et sa manière de travailler dans les rapports de travail mensuels qu'il établissait à l'intention de leur chef direct. Or, à partir de cette même période, A.________ avait commencé à se voir reprocher des prestations insuffisantes et à rencontrer des problèmes de santé à l'origine de nombreuses absences pour maladie. Au lieu de réagir devant l'hostilité croissante ouvertement exprimée par S.________, l'employeur était resté passif, tolérant la situation de stigmatisation dans laquelle se trouvait son employée et attendant le mois d'avril 2007 pour déplacer le prénommé dans un autre bureau. Toujours selon les premiers juges, il fallait admettre, dans ces circonstances et en dépit de l'absence de mobbing avéré, que l'employeur avait contribué à la dégradation des conditions de travail de A.________ et, de ce fait, à une baisse de ses prestations.</w:t>
      </w:r>
    </w:p>
    <w:p>
      <w:r>
        <w:rPr>
          <w:b/>
        </w:rPr>
        <w:t>E. 4</w:t>
      </w:r>
    </w:p>
    <w:p>
      <w:r>
        <w:t>La recourante se plaint d'arbitraire dans l'appréciation des preuves et l'établissement des faits ( art. 9 Cst. ).</w:t>
      </w:r>
    </w:p>
    <w:p>
      <w:r>
        <w:t>Le Tribunal fédéral statue sur la base des faits établis par l'autorité précédente ( art. 105 al. 1 LTF ). La partie recourante ne peut critiquer les constatations de faits que si ceux-ci ont été établis de façon manifestement inexacte - notion qui correspond à celle d'arbitraire - ou en violation du droit au sens de l' art. 95 LTF , en particulier en violation de l'interdiction constitutionnelle de l'arbitraire. La violation peut consister en un état de faits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120 Ia 31 consid. 4b p. 40; 118 Ia 28 consid. 1b p. 30).</w:t>
      </w:r>
    </w:p>
    <w:p>
      <w:r>
        <w:rPr>
          <w:b/>
        </w:rPr>
        <w:t>E. 5.1</w:t>
      </w:r>
    </w:p>
    <w:p>
      <w:r>
        <w:t>Sur la question de l'existence de justes motifs de licenciement, la recourante reproche à la juridiction cantonale d'avoir fait fi des nombreux documents qu'elle avait produits à l'appui de sa réponse et dans lesquels les supérieurs directs de A.________ avaient constaté, exemples à l'appui, les multiples carences de celle-ci sur tous les onze points qui avaient fait l'objet de la mise en demeure du 21 juin 2007. Elle cite notamment les rapports de travail mensuels établis par U.________, R.________, J.________ sur la période de janvier 2004 à décembre 2007, les notes de service de P.________, ainsi que les entretiens de collaboration de A.________ (classeur VIII A-L). Devant ces éléments de preuve convergents, elle soutient avoir démontré à satisfaction de droit que les prestations de son employée étaient devenues à ce point insuffisantes qu'il n'était plus possible de la garder dans le service, ni même d'envisager son déplacement dans une autre fonction.</w:t>
      </w:r>
    </w:p>
    <w:p>
      <w:r>
        <w:rPr>
          <w:b/>
        </w:rPr>
        <w:t>E. 5.2</w:t>
      </w:r>
    </w:p>
    <w:p>
      <w:r>
        <w:t>Il appartient en premier lieu aux supérieurs hiérarchiques, ainsi qu'à l'autorité compétente de qualifier les prestations de l'employé, du moment qu'ils peuvent le mieux évaluer le travail quotidien et apprécier le comportement de l'intéressé (cf. ATF 118 Ib 164 consid. 4b p. 166 s.; arrêt 8C_358/2009 du 8 mars 2010 consid. 4.2.1).</w:t>
      </w:r>
    </w:p>
    <w:p>
      <w:r>
        <w:rPr>
          <w:b/>
        </w:rPr>
        <w:t>E. 5.3</w:t>
      </w:r>
    </w:p>
    <w:p>
      <w:r>
        <w:t>Dans les documents cités par la recourante, en particulier dans les rapports de travail mensuels des assistants de P.________, on trouve, en l'occurrence, un nombre considérable d'observations négatives sur le travail de l'intimée. Il y est relevé, par exemple, qu'en janvier 2006, A.________ n'avait toujours pas traité de nombreuses demandes PC entrées au début de l'année précédente (rapport de R.________ du 10 janvier 2006), qu'entre avril 2006 à février 2007, 45 dossiers d'enquêtes avaient dû lui être retournés pour être complétés contre seulement 9 à S.________ (rapport de R.________ du 5 mars 2007), qu'elle commettait des fautes susceptibles de conduire à des prises de décision erronées (rapports de J.________ du 4 novembre 2005 et 6 juin 2006), que le suivi de ses dossiers était inadapté (rapports de U.________ du 5 juillet 2005, de J.________ du 5 janvier 2007 et de R.________ du 5 septembre 2007), qu'une part significative de ses courriers remis pour signature nécessitait régulièrement des corrections (rapports de J.________ des 10 avril 2006 et 6 février 2007), qu'il lui arrivait souvent de demander le même justificatif plusieurs fois, ce qui engendrait des pertes de temps inutiles (rapports de R.________ des 2 mars et 3 avril 2006 et de J.________ du 6 juin 2006), qu'elle persistait à ne pas mettre en pratique certaines directives (rapports de J.________ des 9 août 2006 et 8 août 2007), qu'elle se perdait dans les dossiers (rapport de R.________ du 5 juillet 2006), ou encore qu'elle ne maîtrisait pas les outils de travail (rapports de J.________ du 6 février 2007 et de R.________ du 5 octobre 2007). On retrouve des remarques critiques de même nature dans les documents relatifs à ses qualifications.</w:t>
      </w:r>
    </w:p>
    <w:p>
      <w:r>
        <w:rPr>
          <w:b/>
        </w:rPr>
        <w:t>E. 5.4</w:t>
      </w:r>
    </w:p>
    <w:p>
      <w:r>
        <w:t>Alors que ces pièces mentionnent des faits objectifs qui ont indubitablement une pertinence pour apprécier l'existence de justes motifs de licenciement au sens de l'art. 70 al. 2 LPAC, on constate que les premiers juges en ont largement fait abstraction sans indiquer pour quelle raison il y aurait lieu de ne pas les prendre en considération. Le jugement entrepris ne comprend en vérité aucune discussion des éléments en défaveur de l'intimée soumis par la recourante que ce soit sous la forme de témoignages (voir par exemple les déclarations de P.________ et U.________) ou de documents internes au service, tandis qu'il accorde d'emblée un poids déterminant aux objections de celle-ci. Il est également pour le moins discutable d'ignorer les pièces dans lesquelles il est question de la qualité des enquêtes de l'intimée pour retenir en défaveur de la recourante le fait qu'elle a renoncé à demander l'audition des gestionnaires PC. En définitive, on a l'impression que les juges cantonaux ont voulu sanctionner l'employeur pour avoir toléré que plusieurs de ses collaborateurs dévoient la finalité originelle des rapports de travail mensuels - celle de fournir au supérieur hiérarchique des informations sur le fonctionnement du service à des fins statistiques - en les utilisant comme un exutoire contre l'intimée, et pour s'en être servi comme d'un outil de contrôle du travail de celle-ci. Cependant, s'ils estimaient que ce procédé était illégal et constituait un motif valable de ne pas tenir compte de ces pièces, il leur incombait d'en faire la démonstration. Dans la mesure où ils ont simplement écarté sans motifs divers éléments de preuve régulièrement administrés et déterminants pour le sort de la procédure, les juges cantonaux ont procédé à un établissement des faits incomplet et arbitraire.</w:t>
      </w:r>
    </w:p>
    <w:p>
      <w:r>
        <w:rPr>
          <w:b/>
        </w:rPr>
        <w:t>E. 6.1</w:t>
      </w:r>
    </w:p>
    <w:p>
      <w:r>
        <w:t>En ce qui concerne le conflit existant entre S.________ et A.________, la recourante concède certes une lenteur d'action - en raison de problèmes de place - dans le déplacement de son collaborateur. Elle estime cependant qu'aucun manquement au devoir de protection de la personnalité de l'intimée ne saurait lui être reproché de ce fait. D'une part, A.________ ne s'était jamais plainte du comportement de son collègue alors qu'elle en avait eu de multiples occasions, laissant même entendre lors d'un entretien qu'elle s'était accommodée de la situation de rupture de dialogue entre eux. D'autre part, rien au dossier ne permettait de penser que les sentiments d'exaspération de S.________ se manifestaient autrement que par les commentaires critiques qu'il faisait dans ses rapports de travail mensuels. Dans la mesure où il n'était nullement établi que le prénommé aurait concrètement entravé l'exécution du travail de l'intimée, l'appréciation des premiers juges selon laquelle la baisse des prestations de cette dernière était imputable aux conditions de travail dans lesquelles elle évoluait, était arbitraire. Elle s'écartait au demeurant des conclusions du médiateur sur l'absence de mobbing et des rapports respectifs des docteurs D.________, médecin-conseil, et E.________, médecin traitant de l'intimée, qui avaient nié le fait que celle-ci était inapte à exercer sa fonction pour des motifs de santé ou que l'ambiance de travail risquait d'entraîner une atteinte à la santé.</w:t>
      </w:r>
    </w:p>
    <w:p>
      <w:r>
        <w:rPr>
          <w:b/>
        </w:rPr>
        <w:t>E. 6.2</w:t>
      </w:r>
    </w:p>
    <w:p>
      <w:r>
        <w:t>Il incombe à l'employeur public, comme à l'employeur privé ( art. 328 CO ), de protéger et respecter la personnalité du travailleur. Cette obligation comprend notamment le devoir de l'employeur d'agir dans certains cas pour calmer la situation conflictuelle et de ne pas rester inactif. Il doit prendre des mesures adéquates si un travailleur fait l'objet d'atteintes de la part de membres du personnel ou de ses supérieurs (voir ATF 127 III 351 consid. 4b/dd p. 355 s.; arrêt 1C_320/2007 du 18 décembre 2007 consid. 3.3). Ainsi, une violation grossière du contrat, comme une atteinte grave au droit de la personnalité (cf. art. 328 CO ) dans le contexte d'une résiliation, peut faire apparaître le congé comme abusif. Par exemple, un licenciement peut être qualifié d'abusif lorsqu'il est prononcé en raison des mauvaises prestations du travailleur, si celles-ci se révèlent être consécutives à un mobbing ( ATF 125 III 70 consid. 2a p. 72 s.).</w:t>
      </w:r>
    </w:p>
    <w:p>
      <w:r>
        <w:rPr>
          <w:b/>
        </w:rPr>
        <w:t>E. 6.3</w:t>
      </w:r>
    </w:p>
    <w:p>
      <w:r>
        <w:t>Il est constant qu'un conflit opposait S.________ à A.________ depuis juillet 2004, à la suite duquel ils ne se sont plus adressé la parole. Selon les constatations cantonales, la mésentente n'a fait que s'empirer du côté de S.________ qui s'est mis à contrôler le travail de sa collègue et à la critiquer dans ses rapports à la hiérarchie, sans hésiter à exprimer l'aversion qu'il avait pour elle. Il ne fait pas de doute que la nature et la virulence des propos formulés à l'encontre de A.________ appelaient une réaction de la part de l'employeur pour régler ce conflit relationnel qui allait manifestement au-delà d'une tension passagère entre deux collègues de travail. Or, d'après les pièces du dossier, l'employeur ne s'est soucié qu'une seule fois des conséquences préjudiciables que cette situation pouvait avoir sur l'intimée, soit au cours de l'entretien collaboration annuel de septembre 2004. A cette occasion, A.________ a fait savoir à P.________ qu'elle «n'en [voulait] plus du tout à M. S.________». Depuis lors, l'employeur a apparemment considéré qu'il n'était pas nécessaire d'entreprendre quoi que ce soit d'autre alors même que les agissements de S.________ ont persisté jusqu'à la date de son déplacement en avril 2007. Même si de l'aveu même de A.________, celle-ci avait pris son parti de la rupture de dialogue entre elle et son collègue, il n'en demeure pas moins que la recourante ne pouvait permettre qu'un des ses employés s'immisce dans le travail d'un autre collaborateur et dénigre celui-ci sur une aussi longue période comme l'a fait S.________. Aussi, la constatation des premiers juges d'une violation du devoir de protection de l'employeur envers l'intimée n'est pas critiquable.</w:t>
      </w:r>
    </w:p>
    <w:p>
      <w:r>
        <w:t>Pour autant, on ne peut les suivre lorsqu'ils retiennent que la baisse des prestations de A.________ résulte de l'absence de mesures prises par la recourante pour désamorcer le conflit existant entre elle et S.________. Comme cela ressort de l'ensemble de ses écritures, l'intimée ignorait, jusqu'à l'ouverture de la procédure de licenciement, qu'elle avait fait l'objet d'une surveillance de son collègue de bureau. Par ailleurs, l'opinion des premiers juges se trouve en contradiction claire avec les conclusions du médiateur O.________ qui n'a pas pu mettre en évidence d'actes de la part de S.________ dont l'intimée aurait directement subi les effets dans l'exécution de son travail. Il est vrai qu'il a fait état d'une souffrance professionnelle, mais il ne l'a nullement liée à la circonstance que l'employeur avait tardé à agir dans ce conflit. Il a observé en outre que les premiers reproches professionnels dataient d'une période fort éloignée du début du conflit (1999) et que l'intimée était souvent malade avant même la survenue des événements en question. De même, les documents médicaux produits au dossier (des docteurs E.________ et C.________ ainsi que de la psychothérapeute F.________) et les témoignages recueillis ne permettent pas d'établir un tel lien de causalité. Ils montrent tout au plus une concomitance dans le temps entre le problème survenu avec S.________ en 2004 et la fragilisation de l'état de santé de l'intimée, ce qui est en soi insuffisant à démontrer que le second est le résultat du premier. Les premiers juges n'étaient donc pas fondés à qualifier le licenciement d'abusif pour ce motif. Sur ce point également, le grief d'arbitraire dans l'appréciation des preuves doit être admis.</w:t>
      </w:r>
    </w:p>
    <w:p>
      <w:r>
        <w:rPr>
          <w:b/>
        </w:rPr>
        <w:t>E. 7</w:t>
      </w:r>
    </w:p>
    <w:p>
      <w:r>
        <w:t>Il découle de ce qui précède, que le recours est bien fondé. La cause doit être renvoyée à l'autorité précédente pour qu'elle procède à un réexamen du cas et qu'elle établisse les faits et apprécie les preuves dans le respect de l' art. 9 Cst. en ce qui concerne la question de l'existence de justes motifs de licenciement. Cette annulation ne préjuge en rien l'issue de la procédure, la Cour de droit administratif et public du Tribunal cantonal vaudois conservant sa liberté pour apprécier l'ensemble des preuves, dans les limites définies au consid. 5.4 supra (cf. arrêt 1C_418/2008 du 27 mai 2009 consid. 2.3).</w:t>
      </w:r>
    </w:p>
    <w:p>
      <w:r>
        <w:rPr>
          <w:b/>
        </w:rPr>
        <w:t>E. 8</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