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8C_189/2025 vom 5. September 2025</w:t>
      </w:r>
    </w:p>
    <w:p>
      <w:r>
        <w:t>Bundesgericht, 2025-09-05, FR</w:t>
      </w:r>
    </w:p>
    <w:p>
      <w:r>
        <w:rPr>
          <w:b/>
        </w:rPr>
        <w:t xml:space="preserve">Quelle: </w:t>
      </w:r>
      <w:r>
        <w:t>https://mcp.opencaselaw.ch/entscheid/bger_8C_189_2025</w:t>
      </w:r>
    </w:p>
    <w:p>
      <w:r>
        <w:t>FR: TF 8C_189/2025 du 5 septembre 2025</w:t>
      </w:r>
    </w:p>
    <w:p>
      <w:r>
        <w:t>IT: TF 8C_189/2025 del 5 settembre 2025</w:t>
      </w:r>
    </w:p>
    <w:p>
      <w:pPr>
        <w:pStyle w:val="Heading2"/>
      </w:pPr>
      <w:r>
        <w:t>Erwägungen</w:t>
      </w:r>
    </w:p>
    <w:p>
      <w:r>
        <w:rPr>
          <w:b/>
        </w:rPr>
        <w:t>E. 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t>Le Tribunal fédéral fonde son raisonnement juridique sur les faits constatés par l'autorité précédente (cf. art. 105 al. 1 LTF ), à moins que ces faits n'aient été établis de façon manifestement inexacte - notion qui correspond à celle d'arbitraire au sens de l' art. 9 Cst. - ou en violation du droit au sens de l' art. 95 LTF (cf. art. 105 al. 2 LTF ) et si la correction du vice pourait influer sur le sort de la cause, ce qu'il appartient au recourant de démontrer de manière claire et circonstanciée ( ATF 137 II 353 consid. 6.1; 136 II 101 consid. 3).</w:t>
      </w:r>
    </w:p>
    <w:p>
      <w:r>
        <w:rPr>
          <w:b/>
        </w:rPr>
        <w:t>E. 3.1</w:t>
      </w:r>
    </w:p>
    <w:p>
      <w:r>
        <w:t>Dans son arrêt, la cour cantonale a d'abord relevé que le litige portait sur le droit aux prestations complémentaires de l'enfant C.C.________ et que les griefs du recourant dirigés contre l'étendue de ses propres prestations étaient irrecevables. Elle a ensuite considéré que le recourant ne faisait valoir aucun argument de nature à remettre en cause la décision de l'intimé, qui avait procédé à un calcul séparé pour l'enfant conformément à l' art. 7 al. 1 let . c OPC-AVS/AI [RS 831.301] et correctement appliqué les directives de l'Office fédéral des assurances sociales (OFAS) en la matière. En particulier, la cour cantonale a expliqué que dans ce calcul, la rente complémentaire pour enfant de l'AVS de 701 fr. se substituait à la contribution d'entretien due de 700 fr. et que le montant de 3'132 fr. correspondait à la part d'entretien de la mère en faveur de son enfant.</w:t>
      </w:r>
    </w:p>
    <w:p>
      <w:r>
        <w:rPr>
          <w:b/>
        </w:rPr>
        <w:t>E. 3.2</w:t>
      </w:r>
    </w:p>
    <w:p>
      <w:r>
        <w:t>En l'occurrence, dans son écriture, le recourant se borne à répéter ce qu'il a déjà dit devant la cour cantonale, à savoir qu'il se trouve dans une situation d'impécuniosité depuis la suppression par l'intimé de ses propres prestations complémentaires et que, pour cette raison, il ne peut pas contribuer à l'entretien de son fils. Ce faisant, il ne prend pas position sur la motivation de la cour cantonale et, a fortiori, ne démontre pas, conformément aux exigences de l' art. 42 al. 1 et 2 LTF , en quoi celle-ci aurait constaté les faits pertinents de façon manifestement inexacte ou violé le droit. De plus, le recourant fait à nouveau référence à des procédures le concernant qui n'ont rien à voir avec le présent litige. Partant, son recours doit être déclaré irrecevable.</w:t>
      </w:r>
    </w:p>
    <w:p>
      <w:r>
        <w:rPr>
          <w:b/>
        </w:rPr>
        <w:t>E. 4</w:t>
      </w:r>
    </w:p>
    <w:p>
      <w:r>
        <w:t>Au regard des circonstances, il convient de renoncer à percevoir des frais judiciaires ( art. 66 al. 1, seconde phrase, LTF ), ce qui rend sans objet la requête d'assistance judiciaire du recourant.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