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8C_189/2024 vom 6. Mai 2024</w:t>
      </w:r>
    </w:p>
    <w:p>
      <w:r>
        <w:t>Bundesgericht, 2024-05-06, DE</w:t>
      </w:r>
    </w:p>
    <w:p>
      <w:r>
        <w:rPr>
          <w:b/>
        </w:rPr>
        <w:t xml:space="preserve">Quelle: </w:t>
      </w:r>
      <w:r>
        <w:t>https://mcp.opencaselaw.ch/entscheid/bger_8C_189_2024</w:t>
      </w:r>
    </w:p>
    <w:p>
      <w:r>
        <w:t>FR: TF 8C_189/2024 du 6 mai 2024</w:t>
      </w:r>
    </w:p>
    <w:p>
      <w:r>
        <w:t>IT: TF 8C_189/2024 del 6 maggio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Mit Zwischenverfügung vom 27. Februar 2024 lehnte das Bundesverwaltungsgericht das Gesuch der Beschwerdeführerin um unentgeltliche Rechtspflege im Verfahren gegen die Verfügung der IV-Stelle für Versicherte im Ausland IVSTA vom 25. Juli 2023 ab und forderte die Gesuchstellerin auf, innert gesetzter Frist einen Kostenvorschuss von Fr. 800.- zu leisten, andernfalls auf die Beschwerde nicht eingetreten werde. Denn die Beschwerdeführerin habe es unterlassen, innert gesetzter Nachfrist die zur Beurteilung der finanziellen Bedürftigkeit notwendigen Belege beizubringen. Darüber hinaus gäben auch die ausserhalb dieser Nachfrist nachgereichten Schriftstücke keine hinreichenden Auskünfte über die Vermögensverhältnisse, womit wegen fehlenden Bedürfnisnachweises das Gesuch abgewiesen werden müsse.</w:t>
      </w:r>
    </w:p>
    <w:p>
      <w:r>
        <w:rPr>
          <w:b/>
        </w:rPr>
        <w:t>E. 3</w:t>
      </w:r>
    </w:p>
    <w:p>
      <w:r>
        <w:t>Darauf geht die Beschwerdeführerin nicht sachbezogen ein. Allein zu behaupten, den geforderten Nachweis erbracht zu haben, und darüber hinaus Ausführungen zur Bedürftigkeitsbemessung nach österreichischem Recht zu tätigen, reicht nicht aus. Weshalb die Angelegenheit nicht nach den in der Schweiz geltenden Grundsätzen beurteilt werden sollte, wird nicht dargetan. Damit ist den eingangs aufgezeigten minimalen Anforderungen an eine sachbezogene Begründung nicht Genüge getan.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