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8C_189/2007 vom 25. Juni 2007</w:t>
      </w:r>
    </w:p>
    <w:p>
      <w:r>
        <w:t>Bundesgericht, 2007-06-25, DE</w:t>
      </w:r>
    </w:p>
    <w:p>
      <w:r>
        <w:rPr>
          <w:b/>
        </w:rPr>
        <w:t xml:space="preserve">Quelle: </w:t>
      </w:r>
      <w:r>
        <w:t>https://mcp.opencaselaw.ch/entscheid/bger_8C_189_2007</w:t>
      </w:r>
    </w:p>
    <w:p>
      <w:r>
        <w:t>FR: TF 8C_189/2007 du 25 juin 2007</w:t>
      </w:r>
    </w:p>
    <w:p>
      <w:r>
        <w:t>IT: TF 8C_189/2007 del 25 giugno 2007</w:t>
      </w:r>
    </w:p>
    <w:p>
      <w:pPr>
        <w:pStyle w:val="Heading2"/>
      </w:pPr>
      <w:r>
        <w:t>Erwägungen</w:t>
      </w:r>
    </w:p>
    <w:p>
      <w:r>
        <w:rPr>
          <w:b/>
        </w:rPr>
        <w:t>E. 1.1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dem Versicherten seit 1. Januar 1986 bei einer Erwerbseinbusse von 25 % ausgerichte Invalidenrente gestützt auf sein Gesuch vom 16. Dezember 2003 wegen Verschlimmerung des Gesundheitszustandes zu erhöhen ist.</w:t>
      </w:r>
    </w:p>
    <w:p>
      <w:r>
        <w:t>In zeitlicher Hinsicht sind grundsätzlich diejenigen Rechtssätze massgebend, die bei der Erfüllung des zu Rechtsfolgen führenden Tatbestandes Geltung haben ( BGE 130 V 445 E. 1.2.1 S. 446, 127 V 466 E. 1 S. 467). Weiter stellt das Sozialversicherungsgericht bei der Beurteilung eines Falles grundsätzlich auf den bis zum Zeitpunkt des Erlasses des streitigen Einspracheentscheides (hier: 9. August 2006) eingetretenen Sachverhalt ab ( BGE 129 V 167 E. 1 S. 169; RKUV 2001 Nr. U 419 S. 101, U 170/00; zum Ganzen BGE 131 V 242 E. 2.1 S. 243).</w:t>
      </w:r>
    </w:p>
    <w:p>
      <w:r>
        <w:t>Im Lichte dieser Grundsätze ist das am 1. Juni 2002 in Kraft getretene Abkommen vom 21. Juni 1999 zwischen der Schweizerischen Eidgenossenschaft einerseits und der Europäischen Gemeinschaft und ihren Mitgliedstaaten - darunter Spanien - andererseits über die Freizügigkeit (Freizügigkeitsabkommen, FZA) zeitlich grundsätzlich anwendbar ( BGE 128 V 315 ). Die materiellen Voraussetzungen der hier streitigen Leistungsansprüche aus Arbeitsunfall (zur Terminologie vgl. Edgar Imhof, Eine Anleitung zum Gebrauch des Personenfreizügigkeitsabkommens und der VO 1408/71, in: Hans-Jakob Mosimann [Hrsg.], Aktuelles im Sozialversicherungsrecht, Zürich 2001, S. 74) eines im Zeitpunkt des Schadenereignisses in der Schweiz beschäftigten und bei einem schweizerischen Träger für das Risiko Berufsunfall versicherten Arbeitnehmers bestimmen sich aber ungeachtet seiner spanischen Staatsangehörigkeit und der zeitlichen Anwendbarkeit des FZA nach schweizerischem Recht, wobei die von den Trägern der anderen Staaten erhaltenen ärztlichen Unterlagen und Berichte zu berücksichtigen sind ( BGE 130 V 253 E. 2.4 S. 257; Urteil des Eidgenössischen Versicherungsgerichts U 94/05 vom 14. September 2005, E. 1).</w:t>
      </w:r>
    </w:p>
    <w:p>
      <w:r>
        <w:rPr>
          <w:b/>
        </w:rPr>
        <w:t>E. 3</w:t>
      </w:r>
    </w:p>
    <w:p>
      <w:r>
        <w:t>Nach alt Art. 22 Abs. 1 Satz 1 UVG (in der bis 31. Dezember 2002 gültig gewesenen Fassung) wird die Rente für die Zukunft entsprechend erhöht, herabgesetzt oder aufgehoben, wenn sich der Invaliditätsgrad des Rentebezügers erheblich ändert. Diese Norm ist der Beurteilung der Rentenrevision zu Grunde zu legen, da der Beschwerdeführer die Invalidenrente am 1. Januar 2003 (Inkrafttreten des ATSG) bereits bezogen hatte (Art. 82 Abs. 1 erster Satz ATSG). Die Vorinstanz hat richtig erkannt, dass diese übergangsrechtliche Lage keinerlei materiellrechtliche Folgen zeitigt, da alt Art. 22 Abs. 1 Satz 1 UVG und Art. 17 ATSG , welcher neu die Revision der Invalidenrente regelt, inhaltlich übereinstimmen ( BGE 130 V 343 E. 3.5.4 S. 352; Urteile des Bundesgerichts I 817/05 vom 5. Februar 2007, E. 3.2.4, und des Eidgenössischen Versicherungsgerichts U 15/05 vom 23. Mai 2005, E. 1.1).</w:t>
      </w:r>
    </w:p>
    <w:p>
      <w:r>
        <w:t>Im Weiteren hat die Vorinstanz die Grundsätze über die Rentenrevision ( BGE 130 V 343 E. 3.5 S. 349 ff. und 71 E. 3.2.3 S. 75 f., SVR 2004 IV Nr. 5 S. 13 E. 2, I 574/02, RKUV 1989 Nr. U 65 S. 70 E. 1c, je mit Hinweisen) zutreffend dargelegt. Darauf wird verwiesen.</w:t>
      </w:r>
    </w:p>
    <w:p>
      <w:r>
        <w:rPr>
          <w:b/>
        </w:rPr>
        <w:t>E. 4</w:t>
      </w:r>
    </w:p>
    <w:p>
      <w:r>
        <w:t>Das kantonale Gericht hat mit einlässlicher Begründung, auf die verwiesen wird ( Art. 109 Abs. 3 BGG ), in Würdigung der medizinischen Akten erkannt, dass es dem Beschwerdeführer zumutbar ist, leichte, wechselbelastende Tätigkeiten in vorwiegend sitzender Haltung mit wiederholten kurzen Ruhepausen ganztags auszuüben. Diese Feststellung ist nicht zu beanstanden. Gleiches gilt bezüglich der vorinstanzlichen Festlegung des Validen- und des Invalideneinkommens (einschliesslich des 10%igen Abzugs im Sinne von BGE 129 V 472 E. 4.2.3 S. 481 mit Hinweisen), was vom Versicherten nicht gerügt wird. Der Einkommensvergleich ergibt, dass die gesundheitsbedingte Erwerbseinbusse nach wie vor 25 % beträgt, weshalb SUVA und Vorinstanz eine Rentenerhöhung zu Recht abgelehnt haben.</w:t>
      </w:r>
    </w:p>
    <w:p>
      <w:r>
        <w:rPr>
          <w:b/>
        </w:rPr>
        <w:t>E. 5</w:t>
      </w:r>
    </w:p>
    <w:p>
      <w:r>
        <w:t>Da die Beschwerde offensichtlich unbegründet ist, wird sie im Verfahren nach Art. 109 Abs. 2 lit. a BGG erledigt.</w:t>
      </w:r>
    </w:p>
    <w:p>
      <w:r>
        <w:rPr>
          <w:b/>
        </w:rPr>
        <w:t>E. 6</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