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8C_188/2016 vom 14. Juni 2016</w:t>
      </w:r>
    </w:p>
    <w:p>
      <w:r>
        <w:t>Bundesgericht, 2016-06-14, DE</w:t>
      </w:r>
    </w:p>
    <w:p>
      <w:r>
        <w:rPr>
          <w:b/>
        </w:rPr>
        <w:t xml:space="preserve">Quelle: </w:t>
      </w:r>
      <w:r>
        <w:t>https://mcp.opencaselaw.ch/entscheid/bger_8C_188_2016</w:t>
      </w:r>
    </w:p>
    <w:p>
      <w:r>
        <w:t>FR: TF 8C_188/2016 du 14 juin 2016</w:t>
      </w:r>
    </w:p>
    <w:p>
      <w:r>
        <w:t>IT: TF 8C_188/2016 del 14 giugno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Prozessthema bildet die Frage, ob sich der Invaliditätsgrad seit der Rentenverfügung vom 4. Januar 2001 bis zur verfügungsweisen Neuprüfung am 29. Januar 2015 in revisionsrechtlich erheblicher Weise verändert hatte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w:t>
      </w:r>
    </w:p>
    <w:p>
      <w:r>
        <w:rPr>
          <w:b/>
        </w:rPr>
        <w:t>E. 3</w:t>
      </w:r>
    </w:p>
    <w:p>
      <w:r>
        <w:t>Unbestritten ist, dass mit der Aufnahme der Arbeitstätigkeit bei der B.________ eine wesentliche Änderung in den tatsächlichen Verhältnissen eingetreten und damit ein Revisionsgrund gegeben war. Daher hatte die Verwaltung den Rentenanspruch in rechtlicher und tatsächlicher Hinsicht umfassend ("allseitig"), mithin ohne Bindung an frühere Beurteilungen zu prüfen ( BGE 141 V 9 E. 2.3 S. 11 mit Hinweisen und E. 6.1 S. 13).</w:t>
      </w:r>
    </w:p>
    <w:p>
      <w:r>
        <w:rPr>
          <w:b/>
        </w:rPr>
        <w:t>E. 4.1.1</w:t>
      </w:r>
    </w:p>
    <w:p>
      <w:r>
        <w:t>Die Vorinstanz hat erkannt, dass die Versicherte bei der B.________ durchschnittlich einen Jahreslohn von Fr. 35'402.60 verdiente. Dem unbestrittenen Einkommen gegenüber gestellt, das sie erzielen könnte, wäre sie nicht invalid geworden (Fr. 52'907.60; vgl. Art. 16 ATSG ), ergab sich ein Invaliditätsgrad von 33 %, weshalb kein Anspruch auf Invalidenrente mehr bestand.</w:t>
      </w:r>
    </w:p>
    <w:p>
      <w:r>
        <w:rPr>
          <w:b/>
        </w:rPr>
        <w:t>E. 4.1.2</w:t>
      </w:r>
    </w:p>
    <w:p>
      <w:r>
        <w:t>Die Beschwerdeführerin bringt vor, das kantonale Gericht habe ein Valideneinkommen, das auf Monatslöhnen basiert habe, mit einem Invalideneinkommen, welches sie im Stundenlohn erziele, verglichen. Sie habe das jährliche Valideneinkommen in 46 Wochen erwirtschaften können, da sie sechs Wochen Ferien zugute gehabt habe. Wenn die Vorinstanz nun das tatsächliche Invalideneinkommen inklusive Ferien- und Feiertagsentschädigungen von 13.8 % herbeiziehe, vergleiche sie einen Jahreslohn, den sie in 52 Wochen erziele. Sie sei nach wie vor lediglich zu 50 % arbeitsfähig und benötige die arbeitsfreie Zeit zur Erholung. Das kantonale Gericht habe den sich aus Art. 16 ATSG ergebenden Grundsatz der Gleichartigkeit der Vergleichseinkommen verletzt. Daher müsse entweder das Valideneinkommen auf 52 Wochen aufgerechnet werden oder aber beim tatsächlichen Invalideneinkommen müssten die Ferien- und Feiertagsentschädigungen unberücksichtigt bleiben.</w:t>
      </w:r>
    </w:p>
    <w:p>
      <w:r>
        <w:rPr>
          <w:b/>
        </w:rPr>
        <w:t>E. 4.1.3</w:t>
      </w:r>
    </w:p>
    <w:p>
      <w:r>
        <w:t>Die IV-Stelle wendet ein, sie habe sowohl das monatlich als auch das im Stundenlohn abgerechnete Einkommen bezogen auf ein ganzes Jahr ermittelt. Entgegen der irrigen Auffassung der Beschwerdeführerin basiere der festgestellte Validenlohn nicht auf 46 Wochen.</w:t>
      </w:r>
    </w:p>
    <w:p>
      <w:r>
        <w:rPr>
          <w:b/>
        </w:rPr>
        <w:t>E. 4.2.1</w:t>
      </w:r>
    </w:p>
    <w:p>
      <w:r>
        <w:t>Das Bundesgericht hat mit Urteil 8C_193/2013 vom 4. Juni 2013 E. 3.1.3 erkannt, dass die im Stundenlohn entlöhnte versicherte Person zu einem Soll von 2184 Jahresstunden angestellt gewesen war. Diese Jahresarbeitszeit umfasste auch Zeiten, an welchen - etwa wegen Ferien oder Feiertagen - keine Arbeit geleistet und für welche den im Stundenlohn entlöhnten Angestellten daher kein Lohn ausbezahlt wurde. Würden nur die tatsächlichen Arbeitsstunden berücksichtigt, wäre als Ausgleich zum gesetzlich vorgesehenen Ferienanspruch ein Zuschlag zum Stundenlohn zu gewähren. Wird hingegen bei Einkommensangaben - rein rechnerisch - auch der in der arbeitsfreien Zeit zumindest theoretisch mögliche Lohn - obschon er nicht zur Ausrichtung gelangt ist - mitberücksichtigt, verbleibt für solche prozentualen Zuschläge unter dem Titel "Ferien- und Feiertagsentschädigung" kein Raum. Solche rechtfertigen sich nur, so lange der Lohn während des Bezugs von Ferien und an Feiertagen nicht ausbezahlt und auch rechnerisch nicht berücksichtigt wird. Nur unter dieser Voraussetzung ist der während der effektiven Arbeitszeit erzielte Stundenlohn um einen prozentualen Zuschlag zu erhöhen. Laut Urteil I 446/01 des Eidgenössischen Versicherungsgerichts (heute Schweizerisches Bundesgericht) vom 4. April 2002 E. 2b müssen, wenn im Lohn Ferien- und Feiertagsentschädigungen enthalten sind, die entsprechenden Zeiten für Ferien und Feiertage von der (gesamtarbeitsvertraglich) vereinbarten Jahresarbeitszeit abgezogen werden, um das massgebende Erwerbseinkommen ermitteln zu können.</w:t>
      </w:r>
    </w:p>
    <w:p>
      <w:r>
        <w:rPr>
          <w:b/>
        </w:rPr>
        <w:t>E. 4.2.2</w:t>
      </w:r>
    </w:p>
    <w:p>
      <w:r>
        <w:t>So liegen die Verhältnisse hier nicht. Gemäss Arbeitsvertrag vom 8. September 2011 wurde die Beschwerdeführerin in zeitlicher Hinsicht auf Abruf angestellt, wobei sich die Parteien absprechen würden. Es wurde mithin keine jährliche Arbeitszeit im Sinne einer "Brutto-Sollarbeitszeit... vor Abzug der allgemeinen Nichtleistungsstunden" definiert (erwähntes Urteil I 446/01 E. 2b). Die IV-Stelle ermittelte anhand des Arbeitsvertrages sowie der Lohnabrechnungen die monatlich geleisteten Arbeitsstunden und das sich daraus ergebende Pensum (Case Report vom 19. Dezember 2014). Im Jahr 2011 arbeitete die Beschwerdeführerin durchschnittlich zu einem Pensum von (gerundet) 66 %, 2012 von 53 %, 2013 und 2014 von 66 %. Weiter ist ersichtlich, dass sie zum Beispiel im Januar und Juli 2012 zu einem Pensum von 26 bzw. 35 %, im Januar 2013 von 40 % und im Mai, Juni sowie September 2014 von 14, 29 bzw. 11 % beschäftigt war. Daraus ist im Gesamtkontext zu schliessen, dass die Beschwerdeführerin entgegen ihren Vorbringen ihre Ferien- und Feiertageguthaben bezog. Soweit sie auf die Praxis hinweist, wonach das hypothetische Invalideneinkommen nur unter strengen Voraussetzungen anhand des tatsächlich erzielten Lohnes zu bestimmen sei, wird nicht ersichtlich, welche Schlüsse daraus zu ziehen sind, räumt sie doch explizit ein, vorliegend seien die bei der B.________ erwirtschafteten Verdienste massgeblich. Zudem benennt sie keinen Arztbericht, der bestätigte, sie habe aus medizinischer Sicht über das ihr zumutbare Mass hinaus gearbeitet, weshalb sie sich während der arbeitsfreien Tage (auch während der Ferien) habe erholen müssen.</w:t>
      </w:r>
    </w:p>
    <w:p>
      <w:r>
        <w:rPr>
          <w:b/>
        </w:rPr>
        <w:t>E. 4.2.3</w:t>
      </w:r>
    </w:p>
    <w:p>
      <w:r>
        <w:t>Insgesamt ist festzuhalten, dass die Vorinstanz in Bestätigung der Verfügung der IV-Stelle vom 29. Januar 2015 zu Recht erkannt hat, die Beschwerdeführerin vermöge nunmehr ein Einkommen zu erzielen, das den früher bestandenen Anspruch auf eine Invalidenrente ausschloss.</w:t>
      </w:r>
    </w:p>
    <w:p>
      <w:r>
        <w:rPr>
          <w:b/>
        </w:rPr>
        <w:t>E. 5</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