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186/2023 vom 5. April 2023</w:t>
      </w:r>
    </w:p>
    <w:p>
      <w:r>
        <w:t>Bundesgericht, 2023-04-05, DE</w:t>
      </w:r>
    </w:p>
    <w:p>
      <w:r>
        <w:rPr>
          <w:b/>
        </w:rPr>
        <w:t xml:space="preserve">Quelle: </w:t>
      </w:r>
      <w:r>
        <w:t>https://mcp.opencaselaw.ch/entscheid/bger_8C_186_2023</w:t>
      </w:r>
    </w:p>
    <w:p>
      <w:r>
        <w:t>FR: TF 8C 186/2023 du 5 avril 2023</w:t>
      </w:r>
    </w:p>
    <w:p>
      <w:r>
        <w:t>IT: TF 8C 186/2023 del 5 aprile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Die Vorinstanz legte im angefochtenen Entscheid vom 15. Februar 2023 dar, weshalb die Beschwerdeführerin für die Monate Juli bis September 2021 keinen Anspruch auf Kurzarbeitsentschädigung hat. Demnach hat die Beschwerdeführerin einerseits die Frist zur Geltendmachung der Kurzarbeitsentschädigung gemäss Art. 38 Abs. 1 AVIG nicht eingehalten, andererseits auch jene gemäss Art. 41 ATSG versäumt, innert welcher ein Fristwiederherstellungsgesuch gestellt werden kann. Abgesehen davon habe die Beschwerdeführerin die Rechtsmittelfrist ohnehin auch nicht unverschuldeterweise im Sinne von Art. 41 ATSG verpasst, weshalb eine ausnahmsweise Wiederherstellung der Rechtsmittelfrist auch aus diesem Grund nicht möglich sei.</w:t>
      </w:r>
    </w:p>
    <w:p>
      <w:r>
        <w:rPr>
          <w:b/>
        </w:rPr>
        <w:t>E. 3</w:t>
      </w:r>
    </w:p>
    <w:p>
      <w:r>
        <w:t>Die Beschwerdeführerin setzt sich mit diesen Erwägungen nicht hinreichend auseinander. Sie thematisiert allein das angebliche Vorliegen von Wiederherstellungsgründen. Zu der von der Vorinstanz bereits für sich allein zur Ablehnung des Fristwiederherstellungsgesuchs führenden Feststellung, wonach das Gesuch ausserhalb der dafür in Art. 41 ATSG vorgegebenen Frist von 30 Tagen nach Wegfall des Hindernisses gestellt worden sei, äussert sie sich hingegen nicht. Damit ist den gemäss E. 1 in fine hievor gebotenen Mindestanforderungen an eine Beschwerdebegründung nicht Genüge 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