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186/2009 vom 6. August 2009</w:t>
      </w:r>
    </w:p>
    <w:p>
      <w:r>
        <w:t>Bundesgericht, 2009-08-06, FR</w:t>
      </w:r>
    </w:p>
    <w:p>
      <w:r>
        <w:rPr>
          <w:b/>
        </w:rPr>
        <w:t xml:space="preserve">Quelle: </w:t>
      </w:r>
      <w:r>
        <w:t>https://mcp.opencaselaw.ch/entscheid/bger_8C_186_2009</w:t>
      </w:r>
    </w:p>
    <w:p>
      <w:r>
        <w:t>FR: TF 8C 186/2009 du 6 août 2009</w:t>
      </w:r>
    </w:p>
    <w:p>
      <w:r>
        <w:t>IT: TF 8C 186/2009 del 6 agosto 2009</w:t>
      </w:r>
    </w:p>
    <w:p>
      <w:pPr>
        <w:pStyle w:val="Heading2"/>
      </w:pPr>
      <w:r>
        <w:t>Regeste</w:t>
      </w:r>
    </w:p>
    <w:p>
      <w:r>
        <w:t>Assurance-invalidité (rente d'invalidité)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Les constatations de la juridiction cantonale sur l'atteinte à la santé (diagnostic, pronostic, etc.) et l'évaluation de la capacité de travail (résiduelle) sont en principe des questions de fait ( ATF 132 V 393 consid. 2 p. 397). Il en est de même de l'appréciation concrète des preuves. En revanche, l'application du principe inquisitoire et des règles sur l'appréciation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 cf. également arrêt 9C_669/2008 du 27 février 2009 consid. 1.2).</w:t>
      </w:r>
    </w:p>
    <w:p>
      <w:r>
        <w:rPr>
          <w:b/>
        </w:rPr>
        <w:t>E. 2</w:t>
      </w:r>
    </w:p>
    <w:p>
      <w:r>
        <w:t>Le jugement entrepris expose correctement les dispositions légales et la jurisprudence sur la notion d'invalidité et son évaluation ainsi que les principes jurisprudentiels relatifs à la valeur probante des rapports médicaux. Il suffit donc d'y renvoyer.</w:t>
      </w:r>
    </w:p>
    <w:p>
      <w:r>
        <w:rPr>
          <w:b/>
        </w:rPr>
        <w:t>E. 3</w:t>
      </w:r>
    </w:p>
    <w:p>
      <w:r>
        <w:t>Le recourant conteste la valeur probante de l'expertise du Centre X.________ sur laquelle les premiers juges se sont fondés pour statuer. Plus spécifiquement, il estime que le dossier médical est incomplet à divers titres. Il en conclut que, dans de telles conditions, l'on ne saurait évaluer son taux d'invalidité.</w:t>
      </w:r>
    </w:p>
    <w:p>
      <w:r>
        <w:rPr>
          <w:b/>
        </w:rPr>
        <w:t>E. 3.1</w:t>
      </w:r>
    </w:p>
    <w:p>
      <w:r>
        <w:t>Sous l'angle formel, le recourant fait valoir que l'OAI a ordonné une « Expertise pluridisciplinaire: rhumatologie-neurologie-psychiatrie ». Or l'expertise du Centre X.________ ne contient pas de volet neurologique. Ce faisant, le recourant n'explique pas en quoi une expertise neurologique serait nécessaire. En procédure cantonale, il n'a pas sollicité une expertise de ce type mais bien une nouvelle expertise rhumatologique et/ou orthopédique (cf. p. 11 in initio du recours cantonal). A supposer que le recours doive être interprété dans le sens d'une demande de mise en oeuvre d'une expertise neurologique, cette conclusion formulée pour la première fois devant le Tribunal fédéral devrait être rejetée au regard de l' art. 99 LTF .</w:t>
      </w:r>
    </w:p>
    <w:p>
      <w:r>
        <w:rPr>
          <w:b/>
        </w:rPr>
        <w:t>E. 3.2</w:t>
      </w:r>
    </w:p>
    <w:p>
      <w:r>
        <w:t>Par ailleurs, compte tenu du fait que sur les 36 pages d'expertise, seules quatre d'entre elles sont consacrées aux deux entretiens d'une heure au total qu'il a eus avec les experts en rhumatologie et psychiatrie, le recourant fait valoir que le document final constitue une simple prise de position sur le dossier (rédigée selon lui en grande partie par une secrétaire médicale expérimentée) et non pas une expertise au caractère probant. Ces allégations, qui relèvent de la simple supposition, ne permettent toutefois pas de retenir que l'expertise est entachée d'un vice formel à cet égard.</w:t>
      </w:r>
    </w:p>
    <w:p>
      <w:r>
        <w:rPr>
          <w:b/>
        </w:rPr>
        <w:t>E. 3.3</w:t>
      </w:r>
    </w:p>
    <w:p>
      <w:r>
        <w:t>Le recourant se plaint du fait qu'aucun test psychologique n'a été effectué dans le cadre de l'expertise psychiatrique quand bien même le médecin du SMR évoquait peu de temps auparavant un possible syndrome somatoforme et/ou une possible fibromyalgie ainsi qu'un syndrome de conversion (diagnostics différentiels) ayant des répercussions sur la capacité de travail. En outre, il estime qu'il eût incombé aux experts de donner plus de précisions en cas de diagnostic de troubles somatoformes. Ces reproches sont d'autant moins pertinents que l'assuré lui-même a indiqué spontanément qu'il n'avait pas de plainte particulière sur le plan psychique (page 16 de l'expertise). De toute manière, les experts n'ont pas confirmé la présence des affections sus-évoquées, de sorte que cette critique tombe également à faux.</w:t>
      </w:r>
    </w:p>
    <w:p>
      <w:r>
        <w:rPr>
          <w:b/>
        </w:rPr>
        <w:t>E. 3.4</w:t>
      </w:r>
    </w:p>
    <w:p>
      <w:r>
        <w:t>Le recourant fait grief à l'expert rhumatologue de n'avoir pas requis une nouvelle IRM alors qu'il présenterait des troubles dégénératifs susceptibles d'aggravation et que les dernières IRM dateraient de 1999 et de 2003. Cette critique n'est pas plus fondée que les précédentes dès lors que l'assuré a fait l'objet de plusieurs examens d'imagerie médicale en 2004 et que les experts en ont eu connaissance. En particulier, il a subi une IRM lombaire le 18 octobre 2004, une IRM cervicale le 3 décembre 2004 ainsi qu'une scintigraphie osseuse en trois phases le même jour (cf. rapport de l'Hôpital Y.________ du 21 décembre 2004), lesquelles sont évoquées aux pages 9, 10 et 11 de l'expertise.</w:t>
      </w:r>
    </w:p>
    <w:p>
      <w:r>
        <w:rPr>
          <w:b/>
        </w:rPr>
        <w:t>E. 3.5</w:t>
      </w:r>
    </w:p>
    <w:p>
      <w:r>
        <w:t>Le recourant fait valoir que les experts n'indiquent pas depuis quand les affections diagnostiquées sont présentes. Cette allégation est inexacte: les experts ont mentionné les dates auxquelles remontent les troubles de l'assuré chaque fois que cette information leur a été communiquée (ch. 4 p. 32 et 33 de l'expertise).</w:t>
      </w:r>
    </w:p>
    <w:p>
      <w:r>
        <w:rPr>
          <w:b/>
        </w:rPr>
        <w:t>E. 3.6</w:t>
      </w:r>
    </w:p>
    <w:p>
      <w:r>
        <w:t>Le recourant se plaint enfin du fait qu'une traduction correcte dans sa langue d'origine n'a pas été assurée durant les examens pratiqués par les experts. Il ne remet cependant pas les conclusions de l'expertise en question pour ce motif. Partant, cette critique ne saurait pas non plus être prise en considération.</w:t>
      </w:r>
    </w:p>
    <w:p>
      <w:r>
        <w:rPr>
          <w:b/>
        </w:rPr>
        <w:t>E. 3.7</w:t>
      </w:r>
    </w:p>
    <w:p>
      <w:r>
        <w:t>Dans ces conditions, il y a lieu d'admettre que l'expertise est complète si bien que les premiers juges étaient fondés à lui attribuer force probante. Une expertise complémentaire ne se justifie pas, pas plus que d'autres mesures d'instruction, sous la forme d'un stage d'observation professionnelle, requises par le recourant.</w:t>
      </w:r>
    </w:p>
    <w:p>
      <w:r>
        <w:rPr>
          <w:b/>
        </w:rPr>
        <w:t>E. 3.8</w:t>
      </w:r>
    </w:p>
    <w:p>
      <w:r>
        <w:t>Le jugement entrepris n'est dès lors pas critiquable et le recours se révèle manifestement infondé, de sorte que l'affaire doit être liquidée selon la procédure simplifiée prévue à l' art. 109 al. 2 let. a LTF .</w:t>
      </w:r>
    </w:p>
    <w:p>
      <w:r>
        <w:rPr>
          <w:b/>
        </w:rPr>
        <w:t>E. 4</w:t>
      </w:r>
    </w:p>
    <w:p>
      <w:r>
        <w:t>Le recourant, qui succombe, supportera les frais judiciaires afférents à la présente procédure (art. 66 al. 1, première phrase, LTF en relation avec l'art. 65 al. 4 let.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