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8C_185/2025 vom 4. Dezember 2025</w:t>
      </w:r>
    </w:p>
    <w:p>
      <w:r>
        <w:t>Bundesgericht, 2025-12-04, DE</w:t>
      </w:r>
    </w:p>
    <w:p>
      <w:r>
        <w:rPr>
          <w:b/>
        </w:rPr>
        <w:t xml:space="preserve">Quelle: </w:t>
      </w:r>
      <w:r>
        <w:t>https://mcp.opencaselaw.ch/entscheid/bger_8C_185_2025</w:t>
      </w:r>
    </w:p>
    <w:p>
      <w:r>
        <w:t>FR: TF 8C_185/2025 du 4 décembre 2025</w:t>
      </w:r>
    </w:p>
    <w:p>
      <w:r>
        <w:t>IT: TF 8C_185/2025 del 4 dicembre 2025</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20. Februar 2025 handelt es sich um einen Zwischenentscheid: Die Vorinstanz stellte für die Beschwerdeführerin verbindlich fest, dass der Versicherte einen Anspruch auf eine Entschädigung für eine Hilflosigkeit mittleren Grades habe und wies die Sache zur Festsetzung des Intensivpflegezuschlags an die IV-Stelle zurück. Könnte die Verwaltung den kantonalen Gerichtsentscheid nicht vor Bundesgericht anfechten, so hätte dies zur Folge, dass sie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ff.). Auf die Beschwerde der IV-Stelle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3</w:t>
      </w:r>
    </w:p>
    <w:p>
      <w:r>
        <w:t>Streitig ist der Anspruch auf eine Hilflosenentschädigung (inkl. Intensivpflegezuschlag) in der Zeit ab 1. Mai 2021 bzw. der Rückerstattungsanspruch der IV-Stelle für die über dieses Datum hinaus erbrachten Leistungen.</w:t>
      </w:r>
    </w:p>
    <w:p>
      <w:r>
        <w:rPr>
          <w:b/>
        </w:rPr>
        <w:t>E. 4.1</w:t>
      </w:r>
    </w:p>
    <w:p>
      <w:r>
        <w:t>Versicherte mit Wohnsitz und gewöhnlichem Aufenthalt ( Art. 13 ATSG ) in der Schweiz, die hilflos ( Art. 9 ATSG ) sind, haben gemäss Art. 42 Abs. 1 IVG Anspruch auf eine Hilflosenentschädigung. Dabei ist nach Art. 42 Abs. 2 IVG zu unterscheiden zwischen schwerer, mittelschwerer und leichter Hilflosigkeit. Die Hilflosigkeit gilt unter anderem dann als leicht, wenn die versicherte Person trotz der Abgabe von Hilfsmitteln in mindestens zwei alltäglichen Lebensverrichtungen regelmässig in erheblicher Weise auf die Hilfe Dritter angewiesen ist ( Art. 37 Abs. 3 lit. a IVV [SR 831.201]), einer dauernden persönlichen Überwachung ( Art. 37 Abs. 3 lit. b IVV ) oder einer durch das Gebrechen bedingten ständigen und besonders aufwendigen Pflege bedarf ( Art. 37 Abs. 3 lit. c IVV ). Demgegenüber gilt die Hilflosigkeit unter anderem dann als mittelschwer, wenn die versicherte Person trotz der Abgabe von Hilfsmitteln in den meisten alltäglichen Lebensverrichtungen regelmässig in erheblicher Weise auf die Hilfe Dritter angewiesen ist ( Art. 37 Abs. 2 lit. a IVV ) oder in mindestens zwei alltäglichen Lebensverrichtungen regelmässig in erheblicher Weise auf die Hilfe Dritter angewiesen ist und überdies einer dauernden persönlichen Überwachung bedarf ( Art. 37 Abs. 2 lit. b IVV ). Bei Minderjährigen ist gemäss Art. 37 Abs. 4 IVV nur der Mehrbedarf an Hilfeleistung und persönlicher Überwachung im Vergleich zu nicht behinderten Minderjährigen gleichen Alters zu berücksichtigen.</w:t>
      </w:r>
    </w:p>
    <w:p>
      <w:r>
        <w:rPr>
          <w:b/>
        </w:rPr>
        <w:t>E. 4.2</w:t>
      </w:r>
    </w:p>
    <w:p>
      <w:r>
        <w:t>Die Hilflosenentschädigung für Minderjährige, die zusätzlich eine intensive Betreuung brauchen, wird nach Art. 42ter Abs. 3 IVG um einen Intensivpflegezuschlag erhöht; dieser Zuschlag wird nicht gewährt bei einem Aufenthalt in einem Heim. Der monatliche Intensivpflegezuschlag beträgt bei einem invaliditätsbedingten Betreuungsaufwand von mindestens 8 Stunden pro Tag 100 Prozent, bei einem solchen von mindestens 6 Stunden pro Tag 70 Prozent und bei einem solchen von mindestens 4 Stunden pro Tag 40 Prozent des Höchstbetrages der Altersrente nach Art. 34 Abs. 3 und 5 AHVG .</w:t>
      </w:r>
    </w:p>
    <w:p>
      <w:r>
        <w:rPr>
          <w:b/>
        </w:rPr>
        <w:t>E. 4.3</w:t>
      </w:r>
    </w:p>
    <w:p>
      <w:r>
        <w:t>Eine dauernde persönliche Überwachung im Sinne von Art. 37 Abs. 2 lit. b und Abs. 3 lit. b IVV setzt nicht voraus, dass die betreuende Person ausschliesslich an die überwachte Person gebunden ist (EVGE 1969 215 E. 2, Urteil 8C_535/2022 vom 1. Juni 2023 E. 4.3.5.2). "Dauernd" hat in diesem Zusammenhang nicht die Bedeutung von "rund um die Uhr", sondern ist als Gegensatz zu "vorübergehend" zu verstehen ( BGE 107 V 136 E. 1b; Urteil 8C_994/2010 vom 20. Juni 2011 E. 6.1). Dies ändert indessen nichts daran, dass der Aufwand eine gewisse Intensität erreichen muss, damit von einer dauernden persönlichen Überwachung gesprochen werden kann (Urteil 8C_272/2022 vom 28. Oktober 2022 E. 3.3). Als Massstab kann dabei gelten, dass die persönliche Überwachung intensiver sein muss, als eine allgemeine kollektive Überwachung (Urteile 8C_443/2024 vom 24. Juni 2025 E. 3.2, 8C_158/2008 vom 15. Oktober 2008 E. 5.2.1 und 8C_524/2017 Urteil vom 24. November 2017 E. 2).</w:t>
      </w:r>
    </w:p>
    <w:p>
      <w:r>
        <w:rPr>
          <w:b/>
        </w:rPr>
        <w:t>E. 5</w:t>
      </w:r>
    </w:p>
    <w:p>
      <w:r>
        <w:t>Zu prüfen ist zunächst, ob die Vorinstanz Bundesrecht verletzte, indem sie einen über den 1. Mai 2021 hinausgehenden Anspruch des Beschwerdegegners auf eine Entschädigung wegen Hilflosigkeit mittleren Grades (sowie einen grundsätzlichen Anspruch auf einen Intensivpflegezuschlag) bejahte.</w:t>
      </w:r>
    </w:p>
    <w:p>
      <w:r>
        <w:rPr>
          <w:b/>
        </w:rPr>
        <w:t>E. 5.1</w:t>
      </w:r>
    </w:p>
    <w:p>
      <w:r>
        <w:t>Es steht fest und ist unbestritten, dass der Beschwerdegegner in den vier alltäglichen Lebensverrichtungen "An-/Auskleiden", "Aufstehen/Absitzen/Abliegen", "Körperpflege" und "Fortbewegung" nicht regelmässig in erheblicher Weise auf die Hilfe Dritter angewiesen ist. Die Vorinstanz bejahte demgegenüber eine Hilfsbedürftigkeit in den beiden alltäglichen Lebensverrichtungen "Essen" und "Verrichten der Notdurft"; dies wird von der beschwerdeführenden IV-Stelle bestritten.</w:t>
      </w:r>
    </w:p>
    <w:p>
      <w:r>
        <w:rPr>
          <w:b/>
        </w:rPr>
        <w:t>E. 5.1.1</w:t>
      </w:r>
    </w:p>
    <w:p>
      <w:r>
        <w:t>Das kantonale Gericht hat für das Bundesgericht grundsätzlich verbindlich festgestellt, dass der Beschwerdegegner (auch) bezüglich dem Verrichten der Notdurft selbstständig geworden ist. Eine direkte Dritthilfe in dieser Lebensverrichtung ist nunmehr nicht länger notwendig. Allerdings kam es noch zu regelmässigem Stuhlschmieren, weshalb sowohl die Unter- als auch die Bettwäsche überdurchschnittlich oft gewaschen werden mussten. Aus den Vorbringen des Beschwerdegegners geht hervor, dass dieses Stuhlschmieren etwa jede zweite Nacht auftritt. Damit hält sich der Mehraufwand für das überdurchschnittliche Waschen der verschmutzten Wäsche in Grenzen; die dafür erforderliche (indirekte) Dritthilfe kann bereits aus diesem Grund nicht als erheblich im Sinne von Art. 37 Abs. 2 IVV gewertet werden. Damit braucht nicht näher geprüft zu werden, ob es dem Beschwerdegegner aus Schadenminderungsgründen zuzumuten wäre, den Aufwand für das Waschen der verschmutzten Wäsche durch das Tragen von Windeln oder anderen Inkontinenzprodukten in Grenzen zu halten. Eine erhebliche Dritthilfebedürftigkeit in der Lebensverrichtung "Verrichten der Notdurft" ist somit zu verneinen.</w:t>
      </w:r>
    </w:p>
    <w:p>
      <w:r>
        <w:rPr>
          <w:b/>
        </w:rPr>
        <w:t>E. 5.1.2</w:t>
      </w:r>
    </w:p>
    <w:p>
      <w:r>
        <w:t>Im Weiteren hat das kantonale Gericht festgestellt, dass der Beschwerdegegner beim Essen keine relevante direkte Dritthilfe mehr benötigt, er jedoch aufgrund von Schluckproblemen und Aspirationen überwacht werden muss. Ob die Vorinstanz gestützt auf diese Feststellung ohne Verletzung von Bundesrecht den erheblichen Dritthilfebedarf in der Lebensverrichtung "Essen" bejahen durfte, braucht vorliegend nicht geprüft zu werden, steht doch so oder anders fest, dass der Beschwerdegegner nicht in mindestens zwei alltäglichen Lebensverrichtungen hilfsbedürftig ist.</w:t>
      </w:r>
    </w:p>
    <w:p>
      <w:r>
        <w:rPr>
          <w:b/>
        </w:rPr>
        <w:t>E. 5.2</w:t>
      </w:r>
    </w:p>
    <w:p>
      <w:r>
        <w:t>Die Vorinstanz hat ausserdem festgestellt, dass der Beschwerdegegner tagsüber keine dauernde Überwachung mehr benötigt. Seine Mutter müsse jedoch jede Nacht mehrmals aufstehen, weil das Pulsoxymeter einen Alarm auslöse. Entgegen den vorinstanzlichen Erwägungen ergibt sich daraus indessen nicht die Notwendigkeit einer dauernden persönlichen Überwachung, sondern die Notwendigkeit eines Bereitschaftsdienstes. Wenn auch zu anerkennen ist, dass die Aufrechterhaltung dieses Bereitschaftsdienstes einen nicht zu unterschätzenden Aufwand mit sich bringt, so handelt es sich hierbei indessen nicht um eine dauernde persönliche Überwachung im Sinne von Art. 37 Abs. 2 lit. b IVV (vgl. Urteil 8C_443/2024 vom 24. Juni 2025 E. 3.4 mit weiteren Hinweisen).</w:t>
      </w:r>
    </w:p>
    <w:p>
      <w:r>
        <w:rPr>
          <w:b/>
        </w:rPr>
        <w:t>E. 5.3</w:t>
      </w:r>
    </w:p>
    <w:p>
      <w:r>
        <w:t>Zusammenfassend bestand bereits ab 1. Mai 2021 kein Anspruch auf eine Hilflosenentschädigung mehr. Damit entfällt auch die Grundlage für die Erhöhung der Entschädigung im Sinne eines Intensivpflegezuschlags.</w:t>
      </w:r>
    </w:p>
    <w:p>
      <w:r>
        <w:rPr>
          <w:b/>
        </w:rPr>
        <w:t>E. 6</w:t>
      </w:r>
    </w:p>
    <w:p>
      <w:r>
        <w:t>Die IV-Stelle hob Hilflosenentschädigung und Intensivpflegezuschlag mit Verfügung vom 22. August 2024 rückwirkend per 1. Mai 2021 auf. Zu prüfen ist, ob die rückwirkende Aufhebung statthaft ist, oder ob die Aufhebung erst zu einem Zeitpunkt nach Eröffnung der Verfügung Wirkung entfallen kann.</w:t>
      </w:r>
    </w:p>
    <w:p>
      <w:r>
        <w:rPr>
          <w:b/>
        </w:rPr>
        <w:t>E. 6.1</w:t>
      </w:r>
    </w:p>
    <w:p>
      <w:r>
        <w:t>Gemäss Art. 88bis Abs. 2 IVV erfolgt die Herabsetzung oder Aufhebung der Renten, der Hilflosenentschädigungen und der Assistenzbeiträge: frühestens vom ersten Tag des zweiten der Zustellung der Verfügung folgenden Monats an ( Art. 88bis Abs. 2 lit. a IVV ) bzw.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 Art. 88bis Abs. 2 lit. b IVV ). Nach Art. 77 IVV haben der Berechtigte oder sein gesetzlicher Vertreter sowie Behörden oder Dritte, denen die Leistung zukommt, jede für den Leistungsanspruch wesentliche Änderung, namentlich eine solche des Gesundheitszustandes, der Arbeits- oder Erwerbsfähigkeit, des Zustandes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w:t>
      </w:r>
    </w:p>
    <w:p>
      <w:r>
        <w:rPr>
          <w:b/>
        </w:rPr>
        <w:t>E. 6.2</w:t>
      </w:r>
    </w:p>
    <w:p>
      <w:r>
        <w:t>Wie die Beschwerdeführerin überzeugend darlegt und vom Beschwerdegegner nicht substanziiert bestritten wird, hat der Beschwerdegegner bzw. seine gesetzliche Vertretung die Besserung des Gesundheitszustandes nicht von sich aus der IV-Stelle gemeldet und damit seine Meldepflicht verletzt. Soweit er in diesem Zusammenhang geltend macht, die Verbesserung des Gesundheitszustandes sei aus den Berichten (die der IV-Stelle vorgelegen hätten) des Spitals B.________ ersichtlich gewesen, würde dies nichts an der Zulässigkeit der rückwirkenden Leistungsaufhebung ändern (Urteile 9C_33/2021 vom 24. Juni 2021 E. 3.2.1 und 8C_859/2017 vom 8. Mai 2018 E. 4.3). Dieser Aspekt ist jedoch bei der Frage der Verwirkung des Rückforderungsanspruchs ( Art. 25 Abs. 2 ATSG ; vgl. sogl. E. 7 hiernach) zu berücksichtigen. Damit war die Aufhebung der Hilflosenentschädigung und des Intensivpflegezuschlags per 1. Mai 2021 rechtens; die seither ausgerichteten Leistungen erweisen sich damit als unrechtmässig erbracht.</w:t>
      </w:r>
    </w:p>
    <w:p>
      <w:r>
        <w:rPr>
          <w:b/>
        </w:rPr>
        <w:t>E. 7.1</w:t>
      </w:r>
    </w:p>
    <w:p>
      <w:r>
        <w:t>Unrechtmässig bezogene Leistungen sind nach Art. 25 Abs. 1 ATSG zurückzuerstatten. Wer Leistungen in gutem Glauben empfangen hat, muss sie nicht zurückerstatten, wenn eine grosse Härte vorliegt. Der Rückforderungsanspruch erlischt gemäss Art. 25 Abs. 2 ATSG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Bei den Fristen von Art. 25 Abs. 2 ATSG handelt es sich um Verwirkungsfristen, die im Bereich der Invalidenversicherung mit Erlass des Vorbescheids im Sinne von Art. 57a IVG betreffend die Rückforderung gewahrt werden ( BGE 146 V 217 E. 3.4; SVR 2011 IV Nr. 52 S. 155, 8C_699/2010 E. 2; Urteil 8C_72/2023 vom 9. Dezember 2024 E. 5.2.2.1).</w:t>
      </w:r>
    </w:p>
    <w:p>
      <w:r>
        <w:rPr>
          <w:b/>
        </w:rPr>
        <w:t>E. 7.2</w:t>
      </w:r>
    </w:p>
    <w:p>
      <w:r>
        <w:t>Die beschwerdeführende IV-Stelle machte ihren Rückforderungsanspruch mit Vorbescheid vom 21. Mai 2024 geltend. Es stellt sich somit die Frage, ob sie bereits vor dem 21. Mai 2021 Kenntnis vom Rückforderungsanspruch bzw. von der Unrechtmässigkeit der Leistungsausrichtung hatte. Dies ist entgegen den Vorbringen des Beschwerdegegners zu verneinen: Aus dem Bericht des Spitals B.________ vom 9. Mai 2020 ergibt sich nicht, dass sich der Gesundheitszustand des Beschwerdegegners soweit verbessert hat, dass eine Hilflosigkeit im Sinne von Gesetz und Verordnung zu verneinen ist. Somit war der Rückforderungsanspruch noch nicht verwirkt, als die Beschwerdeführerin ihren Vorbescheid vom 21. Mai 2024 erliess.</w:t>
      </w:r>
    </w:p>
    <w:p>
      <w:r>
        <w:rPr>
          <w:b/>
        </w:rPr>
        <w:t>E. 7.3</w:t>
      </w:r>
    </w:p>
    <w:p>
      <w:r>
        <w:t>In masslicher Hinsicht wurde der Rückforderungsanspruch nicht bestritten, sodass sich Weiterungen zur Höhe des Rückforderungsbetrags erübrigen.</w:t>
      </w:r>
    </w:p>
    <w:p>
      <w:r>
        <w:rPr>
          <w:b/>
        </w:rPr>
        <w:t>E. 8</w:t>
      </w:r>
    </w:p>
    <w:p>
      <w:r>
        <w:t>Zusammenfassend verletzte das kantonale Gericht Bundesrecht, als es einen über den 1. Mai 2021 hinausgehenden Anspruch des Beschwerdegegners auf Hilflosenentschädigung (inkl. Intensivpflegezuschlag) bejahte. Die Beschwerdeführerin war vielmehr berechtigt, ihre Leistungen rückwirkend einzustellen und die zu Unrecht ausgerichteten Leistungen zurückzufordern. Entsprechend ist die Beschwerde gutzuheissen, der kantonale Entscheid aufzuheben und die Verfügung vom 22. August 2024 zu bestätigen.</w:t>
      </w:r>
    </w:p>
    <w:p>
      <w:r>
        <w:rPr>
          <w:b/>
        </w:rPr>
        <w:t>E. 9.1</w:t>
      </w:r>
    </w:p>
    <w:p>
      <w:r>
        <w:t>Mit diesem Entscheid in der Sache wird das Gesuch um aufschiebende Wirkung gegenstandslos.</w:t>
      </w:r>
    </w:p>
    <w:p>
      <w:r>
        <w:rPr>
          <w:b/>
        </w:rPr>
        <w:t>E. 9.2</w:t>
      </w:r>
    </w:p>
    <w:p>
      <w:r>
        <w:t>Dem Ausgang des Verfahrens entsprechend sind die Gerichtskosten dem Beschwerdegegner aufzuerlegen ( Art. 66 Abs. 1 BGG ). Die Sache ist zudem zur Neuverlegung der Kosten des vorangegangenen Verfahrens an das kantonale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