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185/2013 vom 4. Juli 2013</w:t>
      </w:r>
    </w:p>
    <w:p>
      <w:r>
        <w:t>Bundesgericht, 2013-07-04, DE</w:t>
      </w:r>
    </w:p>
    <w:p>
      <w:r>
        <w:rPr>
          <w:b/>
        </w:rPr>
        <w:t xml:space="preserve">Quelle: </w:t>
      </w:r>
      <w:r>
        <w:t>https://mcp.opencaselaw.ch/entscheid/bger_8C_185_2013</w:t>
      </w:r>
    </w:p>
    <w:p>
      <w:r>
        <w:t>FR: TF 8C 185/2013 du 4 juillet 2013</w:t>
      </w:r>
    </w:p>
    <w:p>
      <w:r>
        <w:t>IT: TF 8C 185/2013 del 4 luglio 2013</w:t>
      </w:r>
    </w:p>
    <w:p>
      <w:pPr>
        <w:pStyle w:val="Heading2"/>
      </w:pPr>
      <w:r>
        <w:t>Regeste</w:t>
      </w:r>
    </w:p>
    <w:p>
      <w:r>
        <w:t>Invalidenversicherung (Invalidenrente) | Invalidenversicherung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255).</w:t>
      </w:r>
    </w:p>
    <w:p>
      <w:r>
        <w:rPr>
          <w:b/>
        </w:rPr>
        <w:t>E. 1.3</w:t>
      </w:r>
    </w:p>
    <w:p>
      <w:r>
        <w:t>Auf beruflich-erwerblicher Stufe der Invaliditätsbemessung charakterisieren sich als Rechtsfragen die gesetzlichen und rechtsprechungsgemässen Regeln über die Durchführung des Einkommensvergleichs ( BGE 130 V 343 E. 3.4 S. 348, 128 V 29 E. 1 S. 30), einschliesslich derjenigen über die Anwendung der Schweizerischen Lohnstrukturerhebung (LSE; BGE 129 V 472 E. 4.2.1 S. 475, 126 V 75 E. 3b/bb S. 76, 124 V 321 E. 3b/aa S. 322). Die Feststellung der beiden hypothetischen Vergleichseinkommen (Einkommen, welches die versicherte Person ohne Gesundheitsschädigung hätte erzielen können [Valideneinkommen], und Einkommen, welches sie trotz Gesundheitsschädigung zumutbarerweise noch zu erzielen vermöchte [Invalideneinkommen]) stellt eine Tatfrage dar, soweit sie auf konkreter Beweiswürdigung beruht, hingegen eine Rechtsfrage, soweit sich der Entscheid nach der allgemeinen Lebenserfahrung richtet ( BGE 132 V 393 E. 3.3 S. 399). Letzteres betrifft die Frage, ob Tabellenlöhne anwendbar sind und welches die massgebliche Tabelle ist ( BGE 134 V 322 E. 5.2 S. 327; 132 V 393 E. 3.3 S. 399; Urteil 8C_123/2012 vom 12. April 2012 E. 1 mit Hinweis).</w:t>
      </w:r>
    </w:p>
    <w:p>
      <w:r>
        <w:rPr>
          <w:b/>
        </w:rPr>
        <w:t>E. 2</w:t>
      </w:r>
    </w:p>
    <w:p>
      <w:r>
        <w:t>Streitig ist, ob Verwaltung und Vorinstanz zu Recht einen Anspruch auf eine Invalidenrente verneint haben.</w:t>
      </w:r>
    </w:p>
    <w:p>
      <w:r>
        <w:rPr>
          <w:b/>
        </w:rPr>
        <w:t>E. 3</w:t>
      </w:r>
    </w:p>
    <w:p>
      <w:r>
        <w:t>Die Vorinstanz hat die Bestimmungen und Grundsätze über den einheitlichen Begriff der Invalidität ( Art. 8 ATSG in Verbindung mit Art. 4 IVG ; BGE 133 V 549 E. 4 S. 551; 126 V 288 E. 2a S. 291), namentlich der Verbindlichkeit des einmal ermittelten Invaliditätsgrades für andere Sozialversicherungszweige ( BGE 133 V 549 E. 6. S. 553; 126 V 288 ), die Ermittlung des Invaliditätsgrades nach der allgemeinen Methode des Einkommensvergleichs ( Art. 16 ATSG ; BGE 130 V 343 E. 3.4 S. 348; 128 V 29 E. 1 S. 30), insbesondere die Bestimmung des Validen- und des Invalideneinkommens ( BGE 129 V 472 ; 126 V 75 E. 3b S. 76; 124 V 321 E. 3b/aa S. 322), sowie die Aufgabe des Arztes bei der Ermittlung des Invaliditätsgrades ( BGE 132 V 93 E. 4 S. 99 mit Hinweisen) zutreffend dargelegt. Dasselbe gilt für den Beweiswert ärztlicher Berichte ( BGE 134 V 231 E. 5.1 S. 232; 125 V 351 E. 3a S. 352). Darauf wird verwiesen.</w:t>
      </w:r>
    </w:p>
    <w:p>
      <w:r>
        <w:rPr>
          <w:b/>
        </w:rPr>
        <w:t>E. 4</w:t>
      </w:r>
    </w:p>
    <w:p>
      <w:r>
        <w:t>Die Vorinstanz hat gestützt auf das Gutachten des medizinischen Abklärungsinstituts X.________ vom 16. November 2010 und dessen Ergänzung vom 23. Mai 2011 in für das Bundesgericht verbindlicher Weise (E. 1) festgestellt, dass dem Versicherten eine leidensangepasste Tätigkeit bei einem Pensum von 80 % zumutbar sei, und hat in der Folge einen nicht rentenbegründenden Invaliditätsgrad von 27 % ermittelt.</w:t>
      </w:r>
    </w:p>
    <w:p>
      <w:r>
        <w:rPr>
          <w:b/>
        </w:rPr>
        <w:t>E. 4.1</w:t>
      </w:r>
    </w:p>
    <w:p>
      <w:r>
        <w:t>Soweit der Versicherte gestützt auf die Rechtsprechung von SVR 2009 IV Nr. 29 S. 83 (9C_858/2008) die Verbindlichkeit des von der Militärversicherung ermittelten Invaliditätsgrades auch für die IV geltend macht, kann er aus dem genannten Urteil nichts zu seinen Gunsten ableiten. Zwar ist die rechtskräftige Festsetzung eines Invaliditätsgrades der Militärversicherung ein starkes Indiz für dessen Richtigkeit und in den Entscheidungsprozess der IV miteinzubeziehen, doch dies bewirkt keine absolute Verbindlichkeit. Angesichts der bereits im Verfahren der Militärversicherung unterschiedlichen Abklärungsergebnisse durch das arbeitsmedizinische Zentrum Y.________ vom 28. April 2010 (Evaluation der funktionellen Leistungsfähigkeit, EFL; vgl. auch die Schlussfolgerungen im Austrittsbericht der Rehaklinik Z.________ vom 5. Mai 2008 sowie im orthopädischen Konsilium des Dr. med. G.________, Facharzt für Chirurgie, speziell Allgemein- und Unfallchirurgie, Rehaklinik Z.________ vom 22. April 2008) einerseits und die behandelnden Ärzte (Dr. med. O.________, Facharzt für Psychiatrie und Psychotherapie, PD Dr. med. R.________, Facharzt für orthopädische Chirurgie, und med. pract. K.________) und den Kreisarzt, Facharzt für Chirurgie, speziell Allgemein- und Unfallchirurgie, SUVA, andererseits, sowie der Rechtsprechung, wonach eine Leistungszusprechung einzig gestützt auf die Angaben der behandelnden Ärzte kaum je in Frage kommt ( BGE 135 V 465 E. 4.5 S. 470), ist es nicht zu beanstanden, dass die IV-Stelle ihrerseits ein polydisziplinäres Gutachten in Auftrag gab. Nachdem dieses die Anforderungen der Rechtsprechung ( BGE 134 V 231 E. 5.1 S. 232; 125 V 351 E. 3a S. 352) erfüllt und die Ergebnisse der EFL in weiten Teilen bestätigt, durfte die IV-Stelle unabhängig von der Rentenzusprechung der Militärversicherung den Invaliditätsgrad berechnen. Daran ändern auch die Einwände des Versicherten nichts. Namentlich hat die Vorinstanz zu Recht festgehalten, dass im Rahmen des Verfahrens der Militärversicherung die Arbeitsfähigkeit als Laborant im Vordergrund stand, die involvierten Ärzte aber die in der EFL festgestellte höhere Leistungsfähigkeit in einer anderen, besser angepassten Tätigkeit nicht vertieft prüften. Somit ist von der Zumutbarkeit eines vollen Pensums in einer angepassten Tätigkeit bei einer Leistungsfähigkeit von 80 % auszugehen.</w:t>
      </w:r>
    </w:p>
    <w:p>
      <w:r>
        <w:rPr>
          <w:b/>
        </w:rPr>
        <w:t>E. 4.2</w:t>
      </w:r>
    </w:p>
    <w:p>
      <w:r>
        <w:t>Die Vorinstanz hat bei der Feststellung des Invaliditätsgrades das auch von der Militärversicherung zugrunde gelegte Valideneinkommen berücksichtigt. Der Versicherte vermag nicht darzutun, weshalb dieses nicht auch im Rahmen der Invalidenversicherung massgebend resp. inwiefern das Vorgehen der Vorinstanz willkürlich sein soll (vgl. E. 1). Somit ist im Weiteren von einem Valideneinkommen von Fr. 84'263.- auszugehen. Hingegen ist das Vorgehen der Vorinstanz bei der Ermittlung des Invalideneinkommens widersprüchlich und damit willkürlich: Es geht nicht an, einerseits von der Zumutbarkeit einer angepassten Tätigkeit (und damit einer Leistungsfähigkeit von 80 %) auszugehen, andererseits aber mit dem Anforderungsniveau 3 der LSE-Tabellen die beruflichen Vorkenntnisse in der nicht mehr als massgeblich erachteten Tätigkeit als Laborant zu berücksichtigen. Vielmehr ist unter diesen Umständen das Anforderungsniveau 4 anzuwenden. Da dem Versicherten als Schweizer Staatsangehörigen auch Stellen im öffentlichen Dienst offen stehen und solche leidensangepassten Tätigkeiten sowohl im Produktions- als auch im Dienstleistungssektor vorhanden sind, ist für das Invalideneinkommen im Weiteren der Wert der Tabelle T1 (öffentlicher und privater Sektor) /Total/Männer zugrunde zu legen. Unter Berücksichtigung der Lohnentwicklung und der durchschnittlichen Arbeitszeit ergibt dies ein Invalideneinkommen von Fr. 50'419.- (Fr. 5000 x 12 x 0.8 x 1.01 x 41.6 : 40.0; vgl. E. 6.2 des vorinstanzlichen Entscheids). Dabei ist kein Abzug im Sinne der Rechtsprechung von BGE 126 V 75 vorzunehmen, da die leidensbedingten Einschränkungen bereits mit der reduzierten Leistungsfähigkeit von 80 % berücksichtigt werden. Bei einem Vergleich der beiden massgeblichen Einkommen resultiert ein Invaliditätsgrad von 40.2 %. Der Versicherte hat somit ab 1. August 2009 ( Art. 29 Abs. 1 IVG ) Anspruch auf eine Viertelsrente.</w:t>
      </w:r>
    </w:p>
    <w:p>
      <w:r>
        <w:rPr>
          <w:b/>
        </w:rPr>
        <w:t>E. 5</w:t>
      </w:r>
    </w:p>
    <w:p>
      <w:r>
        <w:t>Das Verfahren ist kostenpflichtig. Bei diesem Ausgang des Verfahrens haben die Parteien die Gerichtskosten hälftig zu tragen ( Art. 66 Abs. 1 BGG ). Der Versicherte hat Anspruch auf eine reduzierte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