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8C_184/2010 vom 27. April 2010</w:t>
      </w:r>
    </w:p>
    <w:p>
      <w:r>
        <w:t>Bundesgericht, 2010-04-27, FR</w:t>
      </w:r>
    </w:p>
    <w:p>
      <w:r>
        <w:rPr>
          <w:b/>
        </w:rPr>
        <w:t xml:space="preserve">Quelle: </w:t>
      </w:r>
      <w:r>
        <w:t>https://mcp.opencaselaw.ch/entscheid/bger_8C_184_2010</w:t>
      </w:r>
    </w:p>
    <w:p>
      <w:r>
        <w:t>FR: TF 8C_184/2010 du 27 avril 2010</w:t>
      </w:r>
    </w:p>
    <w:p>
      <w:r>
        <w:t>IT: TF 8C_184/2010 del 27 aprile 2010</w:t>
      </w:r>
    </w:p>
    <w:p>
      <w:pPr>
        <w:pStyle w:val="Heading2"/>
      </w:pPr>
      <w:r>
        <w:t>Erwägungen</w:t>
      </w:r>
    </w:p>
    <w:p>
      <w:r>
        <w:rPr>
          <w:b/>
        </w:rPr>
        <w:t>E. 1</w:t>
      </w:r>
    </w:p>
    <w:p>
      <w:r>
        <w:t>Le jugement d'irrecevabilité attaqué est une décision finale, dès lors qu'il met fin à la procédure ( ATF 133 V 477 consid. 4.1.1 p. 480; 129 III 107 consid. 1.2.1 p. 110), et il émane d'une autorité cantonale de dernière instance. Il est donc attaquable devant le Tribunal fédéral ( art. 90 et art. 86 al. 1 let . d LTF).</w:t>
      </w:r>
    </w:p>
    <w:p>
      <w:r>
        <w:rPr>
          <w:b/>
        </w:rPr>
        <w:t>E. 2</w:t>
      </w:r>
    </w:p>
    <w:p>
      <w:r>
        <w:t>Le jugement entrepris expose de manière exacte et complète les dispositions légales et la jurisprudence concernant le délai de recours contre les décisions sur opposition ( art. 60 al. 1 LPGA ), le calcul de ce délai (art. 38 al. 1 en liaison avec l' art. 60 al. 2 LPGA ), ainsi que la fiction de notification à l'issue du délai de garde en cas de non distribution de l'envoi. Il suffit donc d'y renvoyer.</w:t>
      </w:r>
    </w:p>
    <w:p>
      <w:r>
        <w:rPr>
          <w:b/>
        </w:rPr>
        <w:t>E. 3.1</w:t>
      </w:r>
    </w:p>
    <w:p>
      <w:r>
        <w:t>La juridiction cantonale a considéré que la décision sur opposition attaquée est réputée avoir été notifiée le dernier jour du délai de garde, soit le 5 septembre 2009, de sorte que le délai de recours de trente jours a expiré le 5 octobre suivant. Formé le 16 octobre 2009, le recours devant la juridiction cantonale a été considéré dès lors comme tardif.</w:t>
      </w:r>
    </w:p>
    <w:p>
      <w:r>
        <w:t>Le recourant invoque le droit à la protection de sa bonne foi. Il soutient en substance qu'il était fondé à se référer, en confiance, aux indications contenues dans la lettre de la CNA du 15 septembre 2009. Selon lui, cette communication l'a induit en erreur. L'indication d'un recours possible dans un délai courant "dès le jour où la décision sur opposition a été notifiée la première fois", soit encore "dans les trente jours à partir de la notification du premier envoi" visait clairement la communication effective du contenu de la décision.</w:t>
      </w:r>
    </w:p>
    <w:p>
      <w:r>
        <w:rPr>
          <w:b/>
        </w:rPr>
        <w:t>E. 3.2</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 ATF 131 II 627 consid. 6.1 p. 636;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131 V 472 consid. 5 p. 480; 129 I 161 consid. 4.1 p. 170; 122 II 113 consid. 3b/cc p. 123 et les références).</w:t>
      </w:r>
    </w:p>
    <w:p>
      <w:r>
        <w:t>En application de ce principe, on admet généralement qu'une partie ne doit pas être lésée par une indication erronée des voies de droit ( ATF 115 Ia 12 consid. 4a p. 19; 112 Ia 305 consid. 3 p. 310; cf. également art. 49 LTF et 38 PA). Il est donc possible que le droit à la protection de la bonne foi conduise à la prolongation d'un délai légal en raison d'une indication erronée donnée par l'autorité ( ATF 114 Ia 105 consid. 2 p. 107 et les références). Tel est notamment le cas si l'autorité procède à une deuxième notification avant l'échéance du délai de recours, en indiquant sans réserve les voies de droit ( ATF 119 V 89 consid. 4b/aa p. 94; 115 Ia 12 consid. 4a et 4c p. 19 ss).</w:t>
      </w:r>
    </w:p>
    <w:p>
      <w:r>
        <w:rPr>
          <w:b/>
        </w:rPr>
        <w:t>E. 3.3</w:t>
      </w:r>
    </w:p>
    <w:p>
      <w:r>
        <w:t>En l'occurrence, le recourant ne prétend pas - avec raison - que la lettre du 15 septembre 2009 contenait un renseignement erroné dont il n'aurait pas pu se rendre compte immédiatement de l'inexactitude. Par ailleurs, on ne saurait raisonnablement partager son point de vue selon lequel les termes "notifiée la première fois" et "notification du premier envoi" visaient la prise de connaissance de la seconde communication du 15 septembre 2009. En utilisant ces termes, l'intimée a fait clairement savoir - même à un destinataire ignorant la fiction de notification à l'issue du délai de garde - que la seconde communication de la décision sur opposition n'ouvrait pas un nouveau délai de recours.</w:t>
      </w:r>
    </w:p>
    <w:p>
      <w:r>
        <w:t>Cela étant, les griefs de violation du droit à la protection de la bonne foi et de formalisme excessif se révèlent mal fondés et le jugement attaqué n'est pas critiquable.</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