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183/2007 vom 19. Juni 2008</w:t>
      </w:r>
    </w:p>
    <w:p>
      <w:r>
        <w:t>Bundesgericht, 2008-06-19, FR</w:t>
      </w:r>
    </w:p>
    <w:p>
      <w:r>
        <w:rPr>
          <w:b/>
        </w:rPr>
        <w:t xml:space="preserve">Quelle: </w:t>
      </w:r>
      <w:r>
        <w:t>https://mcp.opencaselaw.ch/entscheid/bger_8C_183_2007</w:t>
      </w:r>
    </w:p>
    <w:p>
      <w:r>
        <w:t>FR: TF 8C 183/2007 du 19 juin 2008</w:t>
      </w:r>
    </w:p>
    <w:p>
      <w:r>
        <w:t>IT: TF 8C 183/2007 del 19 giugno 2008</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l'art. 95 sv.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1.2</w:t>
      </w:r>
    </w:p>
    <w:p>
      <w:r>
        <w:t>Au regard de la réglementation sur le pouvoir d'examen prévue par la LTF, il convient d'apprécier,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 En revanche, sous l'empire de la LTF, il n'y a en principe pas lieu de procéder à un libre examen du jugement attaqué sous l'angle des faits, sauf si le recours est dirigé contre une décision concernant l'octroi ou le refus de prestations en espèces de l'assurance-accidents et de l'assurance militaire ( art. 97 al. 2 LTF ). De même, n'y a-t-il pas à vérifier l'exercice par la juridiction cantonale de son pouvoir d'appréciation sous l'angle de l'opportunité (selon les principes développés dans l' ATF 126 V 75 consid. 6 p. 81 en relation avec la version en vigueur du 1er juillet au 31 décembre 2006 de l'art. 132 de la loi fédérale d'organisation judiciaire [OJ], abrogée depuis).</w:t>
      </w:r>
    </w:p>
    <w:p>
      <w:r>
        <w:rPr>
          <w:b/>
        </w:rPr>
        <w:t>E. 1.3</w:t>
      </w:r>
    </w:p>
    <w:p>
      <w:r>
        <w:t>Le présent litige porte sur des prestations de l'assurance-invalidité, de sorte que le Tribunal fédéral ne dispose que d'un pouvoir d'examen restreint au sens rappelé ci-dessus.</w:t>
      </w:r>
    </w:p>
    <w:p>
      <w:r>
        <w:rPr>
          <w:b/>
        </w:rPr>
        <w:t>E. 2</w:t>
      </w:r>
    </w:p>
    <w:p>
      <w:r>
        <w:t>Le jugement entrepris expose correctement les dispositions légales et la jurisprudence relatives à la définition de l'invalidité ( art. 8 al. 1 et 3 LPGA , 4 al. 1 LAI), à l'échelonnement des rentes ( art. 28 al. 1 LAI ), à la méthode permettant d'évaluer le taux d'invalidité des assurés qui exercent une activité lucrative à temps partiel et travaillent dans le ménage pour le reste ( art. 16 LPGA , 27 et 27bis RAI) ainsi qu'à la valeur probante des rapports médicaux. Il suffit donc d'y renvoyer.</w:t>
      </w:r>
    </w:p>
    <w:p>
      <w:r>
        <w:rPr>
          <w:b/>
        </w:rPr>
        <w:t>E. 3</w:t>
      </w:r>
    </w:p>
    <w:p>
      <w:r>
        <w:t>La recourante reproche aux premiers juges d'avoir statué sur son cas en se fondant principalement sur les rapports des docteurs S.________ et M.________ dont elle conteste la valeur probante, et non pas sur l'avis d'autres médecins. Elle invoque plusieurs rapports émanant de ses médecins traitants qui ont exprimé leur avis sur la mesure de son incapacité de travail. Dès lors qu'elle se contente de critiquer le contenu des rapports d'expertise et de faire implicitement grief à la juridiction cantonale d'avoir apprécié les faits de manière manifestement inexacte, il s'agit d'une question factuelle portant sur le contenu des rapports médicaux, en particulier sur l'appréciation des taux d'incapacité de travail déduits des observations concrètes de chaque praticien. Le raisonnement de l'intéressée ne suffit toutefois pas à remettre en question la constatation des faits par la juridiction cantonale au vu de la divergence consacrée par la jurisprudence entre un mandat de soins et un mandat d'expertise (cf. arrêt I 701/05 du 5 janvier 2007, consid. 2 et les nombreux arrêts cités, dont en particulier l' ATF 124 I 170 consid. 4 p. 175). Ainsi,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n'est toutefois pas donnée dans le cas d'espèce. C'est dès lors à juste titre que les premiers juges se sont fondés, sans violer le droit fédéral, sur les conclusions des docteurs S.________ et M.________. Pour le surplus, la recourante n'a, à aucun stade de la procédure, contesté les résultats de l'enquête sur le ménage effectuée par l'administration. Le recours est donc mal fondé.</w:t>
      </w:r>
    </w:p>
    <w:p>
      <w:r>
        <w:rPr>
          <w:b/>
        </w:rPr>
        <w:t>E. 4</w:t>
      </w:r>
    </w:p>
    <w:p>
      <w:r>
        <w:t>La recourante, qui succombe, supportera les frais judiciaires (art. 66 al. 1 première phrase LTF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