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182/2014 vom 13. Juni 2014</w:t>
      </w:r>
    </w:p>
    <w:p>
      <w:r>
        <w:t>Bundesgericht, 2014-06-13, DE</w:t>
      </w:r>
    </w:p>
    <w:p>
      <w:r>
        <w:rPr>
          <w:b/>
        </w:rPr>
        <w:t xml:space="preserve">Quelle: </w:t>
      </w:r>
      <w:r>
        <w:t>https://mcp.opencaselaw.ch/entscheid/bger_8C_182_2014</w:t>
      </w:r>
    </w:p>
    <w:p>
      <w:r>
        <w:t>FR: TF 8C 182/2014 du 13 juin 2014</w:t>
      </w:r>
    </w:p>
    <w:p>
      <w:r>
        <w:t>IT: TF 8C 182/2014 del 13 giugno 2014</w:t>
      </w:r>
    </w:p>
    <w:p>
      <w:pPr>
        <w:pStyle w:val="Heading2"/>
      </w:pPr>
      <w:r>
        <w:t>Regeste</w:t>
      </w:r>
    </w:p>
    <w:p>
      <w:r>
        <w:t>Invalidenversicherung (Rückerstattung; Erlass) | Invalidenversicherung</w:t>
      </w:r>
    </w:p>
    <w:p>
      <w:pPr>
        <w:pStyle w:val="Heading2"/>
      </w:pPr>
      <w:r>
        <w:t>Erwägungen</w:t>
      </w:r>
    </w:p>
    <w:p>
      <w:r>
        <w:rPr>
          <w:b/>
        </w:rPr>
        <w:t>E. 1</w:t>
      </w:r>
    </w:p>
    <w:p>
      <w:r>
        <w:t>Sämtliche Voraussetzungen für das Eintreten auf die Beschwerde sind erfüllt. Der Beschwerdegegner begründet auch nicht, weshalb er dies antragsweise in Frage stellt.</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Streitig und zu prüfen ist, ob das kantonale Gericht die Rückerstattung zu Recht im Umfang von Fr. 168'856.- erlassen hat.</w:t>
      </w:r>
    </w:p>
    <w:p>
      <w:r>
        <w:rPr>
          <w:b/>
        </w:rPr>
        <w:t>E. 3.1</w:t>
      </w:r>
    </w:p>
    <w:p>
      <w:r>
        <w:t>Gemäss Gesetz hat unrechtmässige Leistungen nicht zurückzuerstatten, wer diese in gutem Glauben empfangen hat, wenn eine grosse Härte vorliegt (Art. 25 Abs. 1 zweiter Satz ATSG; vgl. auch Art. 4 und Art. 5 ATSV ).</w:t>
      </w:r>
    </w:p>
    <w:p>
      <w:r>
        <w:rPr>
          <w:b/>
        </w:rPr>
        <w:t>E. 3.2</w:t>
      </w:r>
    </w:p>
    <w:p>
      <w:r>
        <w:t>Die Vorinstanz ist zum Ergebnis gelangt, der gute Glaube des Beschwerdegegners sei hinsichtlich der Leistungsbezüge ab 4. Januar 2007, dem Zeitpunkt, in welchem ihm der kantonale Gerichtsentscheid vom 14. Dezember 2006 eröffnet worden sei, zu verneinen, was einen Erlass der entsprechenden Rückerstattung ausschliesse. Bei den Leistungsbezügen bis 3. Januar 2007 hingegen seien sowohl der gute Glaube als auch die grosse Härte gegeben, weshalb die Rückerstattung zu erlassen sei. Das Beschwerde führende BSV macht geltend, das kantonale Gericht habe bezüglich des gewährten Erlasses zu Unrecht den guten Glauben bejaht. Der Beschwerdegegner postuliert, es sei der vorinstanzlichen Betrachtungsweise zu folgen.</w:t>
      </w:r>
    </w:p>
    <w:p>
      <w:r>
        <w:rPr>
          <w:b/>
        </w:rPr>
        <w:t>E. 3.3</w:t>
      </w:r>
    </w:p>
    <w:p>
      <w:r>
        <w:t>Der gute Glaube ist zu vermuten ( Art. 3 Abs. 1 ZGB ; Ueli Kieser, ATSG-Kommentar, 2. Aufl. 2009, N. 33 zu Art. 25 ATSG ; Ulrich Meyer, Die Rückerstattung von Sozialversicherungsleistungen, ZBJV 1995 S. 473 ff., in: Ausgewählte Schriften, 2013, S. 141 ff., 149). Er ist nach der Rechtsprechung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138 V 218 E. 4 S. 220 f. mit Hinweis).</w:t>
      </w:r>
    </w:p>
    <w:p>
      <w:r>
        <w:rPr>
          <w:b/>
        </w:rPr>
        <w:t>E. 3.4</w:t>
      </w:r>
    </w:p>
    <w:p>
      <w:r>
        <w:t>Das kantonale Gericht hat den guten Glauben beim Leistungsbezug bis 3. Januar 2007 mit der Begründung bejaht, einerseits habe die Rentenauszahlung vor der rechtskräftigen Zusicherung mit Art. 19 Abs. 4 ATSG - betreffend die vorschussweise Auszahlung von Versicherungsleistungen - eine hinreichende gesetzliche Grundlage gehabt und sei daher nicht unrechtmässig gewesen. Anderseits sei die gesetzliche Vermutung des guten Glaubens bis zum besagten Zeitpunkt nicht widerlegt. Ein späteres arglistiges Verschweigen und eine spätere Meldepflichtverletzung schlössen den guten Glauben beim Empfang früherer Rentenleistungen nicht aus. Ebenso wenig lasse sich aus einem späteren Verhalten eine Umkehr der Beweislast für das Vorliegen des guten Glaubens in der Periode vor der Meldepflichtverletzung begründen. Die letztgenannten Erwägungen der Vorinstanz beziehen sich darauf, dass der Beschwerdegegner zum einen ab Februar 2007 eine Berufstätigkeit ausgeübt hat, ohne dies der Verwaltung zu melden, und zum anderen im November 2007 bei einer medizinischen Begutachtung diese Berufstätigkeit verschwiegen hat. Das wurde im bundesgerichtlich bestätigten Entscheid vom 9. März 2011 des kantonalen Gerichts so festgestellt. Im hier angefochtenen Entscheid hat die Vorinstanz weiter erkannt, es fehlten Nachweise dafür, dass der Beschwerdegegner bereits vor Februar 2007 eine Meldepflichtverletzung begangen oder die Leistungen bösgläubig entgegengenommen habe.</w:t>
      </w:r>
    </w:p>
    <w:p>
      <w:r>
        <w:rPr>
          <w:b/>
        </w:rPr>
        <w:t>E. 3.5</w:t>
      </w:r>
    </w:p>
    <w:p>
      <w:r>
        <w:t>Das BSV macht geltend, der gute Glaube entfalle als Erlassvoraussetzung von vornherein, wenn der Rückerstattungstatbestand der Melde- oder Auskunftspflichtverletzung durch ein arglistiges oder grobfahrlässiges Verhalten herbeigeführt worden sei. Gemäss den vorinstanzlichen Erwägungen müsse die Unkenntnis der Rechtmässigkeit des Leistungsbezugs grundsätzlich in dem Moment vorliegen, in welchem ein Recht erworben werde. Es stehe aber fest, dass der Beschwerdegegner durch die Meldepflichtverletzung und die Falschangabe bezüglich Berufsanamnese versucht habe, nicht nur künftige Renten, sondern auch die vorschussweise bereits bezogenen Leistungen unrechtmässig zugesprochen zu erhalten. Das schliesse den guten Glauben auch bezüglich dieser Leistungen aus. Diese Argumentation geht dahin, dass ein solches Verhalten der versicherten Person den guten Glauben auch rückwirkend, für frühere Leistungsbezüge, ausschliesst, sofern diese vorschussweise und nicht aufgrund definitiver Leistungsverfügung erfolgt sind. Dem kann nicht gefolgt werden. Massgeblich ist der gute Glaube während des Leistungsbezugs. Das wird auch durch den Gesetzeswortlaut "wer Leistungen in gutem Glauben empfangen hat" (französische Fassung: "lorsque l'intéressé était de bonne foi; italienische Fassung: "se l'interessato era in buona fede") in Art. 25 Abs. 1 zweiter Satz ATSG verdeutlicht und gilt unabhängig davon, ob die Leistungen nun gestützt auf eine rechtskräftige Verfügung oder vorschussweise im Sinne von Art. 19 Abs. 4 ATSG bezogen wurden. Für die vom BSV postulierte rückwirkende Verneinung des guten Glaubens bei bevorschussten Leistungen besteht keine Rechtsgrundlage. Dem Urteil des Bundesgerichts 9C_805/2008 vom 13. März 2009 lässt sich entgegen der in der Beschwerde vertretenen Auffassung nichts entnehmen, was eine andere Betrachtungsweise rechtfertigen könnte. Auch der Einwand, die Vorinstanz habe falsche Schlüsse aus diesem Präjudiz gezogen, ist unbegründet.</w:t>
      </w:r>
    </w:p>
    <w:p>
      <w:r>
        <w:rPr>
          <w:b/>
        </w:rPr>
        <w:t>E. 3.6</w:t>
      </w:r>
    </w:p>
    <w:p>
      <w:r>
        <w:t>Die vorinstanzliche Beurteilung, wonach die Vermutung des guten Glaubens bis zum 3. Juli 2007 nicht widerlegt sei, wird ansonsten nicht in Frage gestellt und gibt keinen Anlass zu Bemerkungen. Gleiches gilt für die Erkenntnis des kantonalen Gerichts, die weitere Erlassvoraussetzung der grossen Härte der Rückerstattung sei gegeben. Die Beschwerde ist somit abzuweisen.</w:t>
      </w:r>
    </w:p>
    <w:p>
      <w:r>
        <w:rPr>
          <w:b/>
        </w:rPr>
        <w:t>E. 4</w:t>
      </w:r>
    </w:p>
    <w:p>
      <w:r>
        <w:t>Es werden keine Gerichtskosten erhoben ( Art. 66 Abs. 1 und 4 BGG ). Das BSV hat dem Beschwerdegegner eine Parteientschädigung auszurichten ( Art. 68 Abs. 1 BGG ). Damit ist dessen Gesuch betreffend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