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8C_179/2018 vom 22. Mai 2018</w:t>
      </w:r>
    </w:p>
    <w:p>
      <w:r>
        <w:t>Bundesgericht, 2018-05-22, DE</w:t>
      </w:r>
    </w:p>
    <w:p>
      <w:r>
        <w:rPr>
          <w:b/>
        </w:rPr>
        <w:t xml:space="preserve">Quelle: </w:t>
      </w:r>
      <w:r>
        <w:t>https://mcp.opencaselaw.ch/entscheid/bger_8C_179_2018</w:t>
      </w:r>
    </w:p>
    <w:p>
      <w:r>
        <w:t>FR: TF 8C_179/2018 du 22 mai 2018</w:t>
      </w:r>
    </w:p>
    <w:p>
      <w:r>
        <w:t>IT: TF 8C_179/2018 del 22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Es ist unbestritten, dass die Beschwerdegegnerin ab 1. Oktober 2011 Anspruch auf eine Invalidenrente der IV hat. Streitig und zu prüfen ist demgegenüber, ob die Vorinstanz Bundesrecht verletzt hat, als sie diese auf eine halbe Rente erhöhte.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Ob ein (behinderungsbedingt oder anderweitig begründeter) Abzug vom Tabellenlohn vorzunehmen ist, stellt eine vom Bundesgericht frei überprüfbare Rechtsfrage dar ( BGE 137 V 71 E. 5.1 S. 72 f. mit Hinweis,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137 V 71 E. 5.1 S. 72 f. mit Hinweis, 132 V 393 E. 3.3 S. 39; Urteil 9C_481/2011 vom 30. September 2011 E. 3.2).</w:t>
      </w:r>
    </w:p>
    <w:p>
      <w:r>
        <w:rPr>
          <w:b/>
        </w:rPr>
        <w:t>E. 4.1</w:t>
      </w:r>
    </w:p>
    <w:p>
      <w:r>
        <w:t>Die Parteien sind sich darüber einig, dass die Beschwerdegegnerin sowohl in ihrer bisherigen Tätigkeit als Medizinische Praxisassistentin wie auch in einer angepassten Tätigkeit zu 50 % arbeitsfähig ist. Unstreitig ist zudem die Ermittlung des hypothetischen Invalideneinkommens gestützt auf die Lohnstrukturerhebung des Bundesamtes für Statistik (LSE 2010, Tabelle TA3, Zentralwert Privater und öffentlicher Sektor, Wirtschaftszweig 86 "Gesundheitswesen" mit Anforderungsniveau 3), woraus nach Berücksichtigung des massgeblichen Arbeitspensums, einer betriebsüblichen wöchentlichen Arbeitszeit nach Wirtschaftsabteilungen und Anpassung an die Nominallohnentwicklung ein Jahreseinkommen von Fr. 36'244.90 resultiert. Die Beschwerdeführerin rügt indessen, dass die Vorinstanz Bundesrecht verletzt hat, als sie der Beschwerdegegnerin einen Abzug von 10 % vom Tabellenlohn für die schmerzbedingt wiederholten Arbeitsausfälle gewährte, zumal dies rechtsprechungsgemäss kein eigenständiges Abzugskriterium darstelle.</w:t>
      </w:r>
    </w:p>
    <w:p>
      <w:r>
        <w:rPr>
          <w:b/>
        </w:rPr>
        <w:t>E. 4.2</w:t>
      </w:r>
    </w:p>
    <w:p>
      <w:r>
        <w:t>Der Beschwerdeführerin ist insofern beizupflichten, als nach der Rechtsprechung regelmässig wiederkehrende krankheitsbedingte Absenzen vom Arbeitsplatz grundsätzlich bei der Festlegung des zeitlich zumutbaren Umfangs der Arbeitsfähigkeit zu berücksichtigen sind (Urteile 8C_631/2017 vom 23. Januar 2018 E. 4.4.1, 9C_462/2007 vom 25. Januar 2008 E. 3.2.2). Diese Regel gilt indessen nicht ausnahmslos. Nicht vorhersehbare und schwer kalkulierbare Absenzen, wie sie durch Krankheitsschübe verursacht werden, können einen Tabellenlohnabzug rechtfertigen (Urteile 9C_414/2017 vom 21. September 2017 E. 4.3 und 9C_728/2009 vom 21. September 2010 E. 4.3.1).</w:t>
      </w:r>
    </w:p>
    <w:p>
      <w:r>
        <w:t>Gemäss dem polydisziplinären Gutachten der Medexperts AG vom 2. Juli 2015 bzw. den ergänzenden Angaben vom 4. und 27. September 2015 leidet die Versicherte seit der Whipple-Operation im Jahr 2011 unter rezidivierenden, intermittierenden Bauchbeschwerden. Aus gastroenterologischer Sicht bestehe eine nachgewiesene Pankreasinsuffizienz, trotz einer therapeutischen Substitutionstherapie mit Creon, welche eine gewisse Besserung sowohl der Bauchschmerzen als auch der Stuhlkonsistenz und -frequenz bewirkte. Nichtsdestotrotz komme es immer wieder zu abdominalen Beschwerden. Aufgrund der rezidivierenden abdominalen Beschwerden sei auch weiterhin mit wiederholten, krankheitsbedingten Ausfällen zu rechnen. Demnach handelt es sich vorliegend um Beschwerden, die naturgemäss unregelmässig auftreten und dadurch zu nicht vorhersehbaren und schwer kalkulierbaren Absenzen führen. Diesen wird gemäss der nicht offensichtlich unrichtigen Tatsachenfeststellung im angefochtenen Gerichtsentscheid bei der 50%igen Arbeitsfähigkeit noch nicht Rechnung getragen. Unter diesen Umständen gilt eine entsprechende Berücksichtigung als Abzug vom Tabellenlohn nicht als bundesrechtswidrig.</w:t>
      </w:r>
    </w:p>
    <w:p>
      <w:r>
        <w:rPr>
          <w:b/>
        </w:rPr>
        <w:t>E. 5</w:t>
      </w:r>
    </w:p>
    <w:p>
      <w:r>
        <w:t>Zusammenfassend hat die Vorinstanz kein Bundesrecht verletzt, als sie beim Invalideneinkommen einen Abzug des Tabellenlohns berücksichtigte. In Bezug auf die Höhe des Abzugs hat sie ihr Ermessen auch nicht rechtsfehlerhaft ausgeübt, weshalb das Bundesgericht nicht korrigierend einzugreifen hat (vgl. 132 V 393 E. 3.3 S. 399, Urteil 9C_830/2017 vom 16. März 2018 E. 5). Im Übrigen wird die Invaliditätsberechnung von der Beschwerdeführerin nicht beanstandet, weshalb es damit sein Bewenden hat. Demzufolge ist die Beschwerde der IV-Stelle abzuweisen.</w:t>
      </w:r>
    </w:p>
    <w:p>
      <w:r>
        <w:rPr>
          <w:b/>
        </w:rPr>
        <w:t>E. 6</w:t>
      </w:r>
    </w:p>
    <w:p>
      <w:r>
        <w:t>Dem Ausgang des Verfahrens entsprechend hat die unterliegende Beschwerdeführerin die Gerichtskosten zu tragen ( Art. 66 Abs. 1 Satz 1 BGG ) und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