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179/2009 vom 3. August 2009</w:t>
      </w:r>
    </w:p>
    <w:p>
      <w:r>
        <w:t>Bundesgericht, 2009-08-03, DE</w:t>
      </w:r>
    </w:p>
    <w:p>
      <w:r>
        <w:rPr>
          <w:b/>
        </w:rPr>
        <w:t xml:space="preserve">Quelle: </w:t>
      </w:r>
      <w:r>
        <w:t>https://mcp.opencaselaw.ch/entscheid/bger_8C_179_2009</w:t>
      </w:r>
    </w:p>
    <w:p>
      <w:r>
        <w:t>FR: TF 8C 179/2009 du 3 août 2009</w:t>
      </w:r>
    </w:p>
    <w:p>
      <w:r>
        <w:t>IT: TF 8C 179/2009 del 3 agosto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Beschwerdegegnerin aus dem versicherten Unfallereignis vom 12. November 2003 für die im April 2006 gemeldeten Handgelenksbeschwerden leistungspflichtig ist.</w:t>
      </w:r>
    </w:p>
    <w:p>
      <w:r>
        <w:rPr>
          <w:b/>
        </w:rPr>
        <w:t>E. 2.1</w:t>
      </w:r>
    </w:p>
    <w:p>
      <w:r>
        <w:t>Im kantonalen Entscheid werden die nach der Rechtsprechung für den Anspruch auf Leistungen der obligatorischen Unfallversicherung ( Art. 6 UVG ) geltenden Voraussetzungen des natürlichen Kausalzusammenhangs zwischen dem Unfallereignis und dem eingetretenen Schaden ( BGE 129 V 177 E. 3.1. S. 181), insbesondere bei Rückfällen und Spätfolgen ( BGE 118 V 293 E. 2c S. 296) zutreffend dargelegt. Darauf wird verwiesen. Ebenfalls richtig sind die vorinstanzlichen Erwägungen zum Nachweis des Vorliegens eines natürlichen Kausalzusammenhangs zwischen dem neuen Beschwerdebild und dem Unfall mit dem Beweisgrad der überwiegenden Wahrscheinlichkeit. Im Sozialversicherungsprozess tragen die Parteien in der Regel eine Beweislast nur insofern, als im Falle der Beweislosigkeit der Entscheid zuungunsten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(RKUV 1994 Nr. U 206 S. 326, U 180/93 und Nr. U 189 S. 138, U 119/92). Bei der Leistungspflicht der obligatorischen Unfallversicherung gemäss Art. 11 UVV für Rückfälle und Spätfolgen kann der Unfallversicherer nicht auf der Anerkennung des natürlichen und adäquaten Kausalzusammenhanges beim Grundfall und bei früheren Rückfällen behaftet werden, weil die unfallkausalen Faktoren durch Zeitablauf wegfallen können. Es obliegt - entgegen der Auffassung der Beschwerdeführerin - vielmehr dem Leistungsansprecher, das Vorliegen eines natürlichen und adäquaten Kausalzusammenhanges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2005 MV Nr. 1 S. 1, M 1/02 E. 1.2; RKUV 1997 Nr. U 275 S. 188, U 93/96 E. 1c am Ende; Urteil 8C_237/2009 vom 3. Juni 2009 E. 3.3).</w:t>
      </w:r>
    </w:p>
    <w:p>
      <w:r>
        <w:rPr>
          <w:b/>
        </w:rPr>
        <w:t>E. 2.2</w:t>
      </w:r>
    </w:p>
    <w:p>
      <w:r>
        <w:t>Das kantonale Gericht hat die Auffassung der SWICA bestätigt, wonach ein natürlicher Kausalzusammenhang zwischen dem Unfallereignis vom 12. November 2003 und den über zwei Jahre später gemeldeten Handgelenksbeschwerden nicht rechtsgenüglich nachgewiesen ist. Diese Beurteilung beruht auf einer sorgfältigen Würdigung der Sach- und Rechtslage und ist nicht zu beanstanden. Daran vermögen die Ausführungen in der Beschwerde, die sich weitgehend auf eine Wiederholung des bereits vorinstanzlich Vorgetragenen beschränken, nichts zu ändern. Der Unfallversicherer hat im Rahmen der Untersuchungsmaxime den Sachverhalt abgeklärt und u.a. einen Spezialisten beigezogen. Dr. med. A.________ kam in seinem Gutachten vom 12. Januar 2007, welches die von der Rechtsprechung ( BGE 125 V 351 E. 3a S. 352) gestellten Anforderungen erfüllt, zum eindeutigen Schluss, dass der Unfall vom 12. November 2003 nicht Ursache der geklagten Handbeschwerden ist. Weder mit dem Bericht des PD Dr. med. B.________ vom 11. Juli 2006, noch mit demjenigen der Frau Dr. med. C.________ vom 14. März 2008, auf welche sich die Beschwerdeführerin beruft, lässt sich ein überwiegend wahrscheinlicher Kausalzusammenhang nachweisen, da sich ersterer gar nicht ausdrücklich zur Unfallkausalität äussert und sich aus zweiterem lediglich die Möglichkeit eines Kausalzusammenhangs zwischen dem Ereignis vom 12. November 2003 und den geklagten Handgelenksbeschwerden ergibt. Es kann hiezu auf die zutreffenden Erwägungen im angefochtenen Entscheid verwiesen werden ( Art. 109 Abs. 3 BGG ).</w:t>
      </w:r>
    </w:p>
    <w:p>
      <w:r>
        <w:rPr>
          <w:b/>
        </w:rPr>
        <w:t>E. 3</w:t>
      </w:r>
    </w:p>
    <w:p>
      <w:r>
        <w:t>Die offensichtlich unbegründete Beschwerde wird im vereinfachten Verfahren nach Art. 109 (Abs. 2 lit. a) BGG mit summarischer Begründung und unter Verweis auf den vorinstanzlichen Entscheid (Abs. 3) erledigt.</w:t>
      </w:r>
    </w:p>
    <w:p>
      <w:r>
        <w:rPr>
          <w:b/>
        </w:rPr>
        <w:t>E. 4</w:t>
      </w:r>
    </w:p>
    <w:p>
      <w:r>
        <w:t>Bei diesem Verfahrensausgang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