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8C_178/2024 vom 2. Mai 2024</w:t>
      </w:r>
    </w:p>
    <w:p>
      <w:r>
        <w:t>Bundesgericht, 2024-05-02, DE</w:t>
      </w:r>
    </w:p>
    <w:p>
      <w:r>
        <w:rPr>
          <w:b/>
        </w:rPr>
        <w:t xml:space="preserve">Quelle: </w:t>
      </w:r>
      <w:r>
        <w:t>https://mcp.opencaselaw.ch/entscheid/bger_8C_178_2024</w:t>
      </w:r>
    </w:p>
    <w:p>
      <w:r>
        <w:t>FR: TF 8C_178/2024 du 2 mai 2024</w:t>
      </w:r>
    </w:p>
    <w:p>
      <w:r>
        <w:t>IT: TF 8C_178/2024 del 2 maggio 2024</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Die Beschwerdegegnerin retournierte der Beschwerdeführerin am 7. November 2023 von ihr eingereichte Heiz- und Nebenkostenabrechnungen mit der Aufforderung, diese selber zu begleichen. Daraufhin gelangte die Beschwerdeführerin an das kantonale Departement Gesundheit und Soziales. Dieses trat auf die Beschwerde mit dem Antrag, die Beschwerdegegnerin sei zu verpflichten, die im Zeitraum vom 1. Juli 2022 bis Ende Februar 2023 angefallenen Heiz- und Nebenkosten zu bezahlen, nicht ein (Entscheid vom 24. November 2023). Zur Begründung führte es aus, darüber müsse zunächst die Beschwerdegegnerin eine (anfechtbare) Verfügung erlassen, ehe der Rechtsmittelweg beschritten werden könne. Gleichzeitig wies es die Beschwerdegegnerin an, entsprechend zu verfahren. In der Folge rief die Beschwerdeführerin das kantonale Verwaltungsgericht bei gleichbleibenden Anträgen an. Dieses schrieb die Beschwerde mit Urteil vom 28. Februar 2024 als gegenstandslos geworden von der Geschäftskontrolle ab. Dazu führte es aus, nachdem die Beschwerdegegnerin nunmehr am 9. Januar 2024 verfügt habe, fehle es an einem schutzwürdigen Interesse an der Aufhebung des angefochtenen Departementsentscheids. Ohnehin hätte auf die Beschwerde mangels hinreichender Begründung gemäss § 43 Abs. 2 VRPG/AG sowie ausgebliebener Kostenvorschussleistung innert gesetzter Nachfrist nach § 30 Abs. 2 VRPG/AG nicht eingetreten werden dürfen.</w:t>
      </w:r>
    </w:p>
    <w:p>
      <w:r>
        <w:rPr>
          <w:b/>
        </w:rPr>
        <w:t>E. 3</w:t>
      </w:r>
    </w:p>
    <w:p>
      <w:r>
        <w:t>Darauf geht die Beschwerdeführerin mit der beim Bundesgericht am 15. März 2024 (Poststempel) eingereichten Eingabe nicht näher ein, was zu einem Nichteintreten im vereinfachten Verfahren nach Art. 108 Abs. 1 lit. b BGG führt. Allein um Korrektur der zwischenzeitlich ergangenen Verfügung der Beschwerdegegnerin vom 9. Januar 2024 zu ersuchen, reicht nicht aus.</w:t>
      </w:r>
    </w:p>
    <w:p>
      <w:r>
        <w:rPr>
          <w:b/>
        </w:rPr>
        <w:t>E. 4</w:t>
      </w:r>
    </w:p>
    <w:p>
      <w:r>
        <w:t>In Anwendung von Art. 66 Abs. 1 Satz 2 BGG wird ausnahmsweise auf die Erhebung von Gerichtskosten verzichtet.</w:t>
      </w:r>
    </w:p>
    <w:p>
      <w:r>
        <w:t>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