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8C_176/2024 vom 8. April 2024</w:t>
      </w:r>
    </w:p>
    <w:p>
      <w:r>
        <w:t>Bundesgericht, 2024-04-08, FR</w:t>
      </w:r>
    </w:p>
    <w:p>
      <w:r>
        <w:rPr>
          <w:b/>
        </w:rPr>
        <w:t xml:space="preserve">Quelle: </w:t>
      </w:r>
      <w:r>
        <w:t>https://mcp.opencaselaw.ch/entscheid/bger_8C_176_2024</w:t>
      </w:r>
    </w:p>
    <w:p>
      <w:r>
        <w:t>FR: TF 8C_176/2024 du 8 avril 2024</w:t>
      </w:r>
    </w:p>
    <w:p>
      <w:r>
        <w:t>IT: TF 8C_176/2024 del 8 aprile 2024</w:t>
      </w:r>
    </w:p>
    <w:p>
      <w:pPr>
        <w:pStyle w:val="Heading2"/>
      </w:pPr>
      <w:r>
        <w:t>Erwägungen</w:t>
      </w:r>
    </w:p>
    <w:p>
      <w:r>
        <w:rPr>
          <w:b/>
        </w:rPr>
        <w:t>E. 1</w:t>
      </w:r>
    </w:p>
    <w:p>
      <w:r>
        <w:t>Le Tribunal fédéral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3</w:t>
      </w:r>
    </w:p>
    <w:p>
      <w:r>
        <w:t>L'arrêt attaqué repose sur la loi [du canton du Jura] sur l'action sociale du 15 décembre 2000 (LASoc; RS/JU 850.1) ainsi que sur les normes de calcul de l'aide sociale édictées par la Conférence suisse des institutions d'action sociale (normes CSIAS) applicables à titre de droit cantonal supplétif par renvoi de l'art. 41 de l'arrêté fixant les normes applicables en matière d'aide sociale du 8 novembre 2005 (RS/JU 850.111.1).</w:t>
      </w:r>
    </w:p>
    <w:p>
      <w:r>
        <w:t>En l'espèce, les juges cantonaux ont limité l'objet du litige à la question de la restitution du montant de 6'500 fr. que le recourant ne contestait pas ne pas avoir annoncé au service intimé. En application de l' art. 36 al. 1 let . c LASoc et des normes CSIAS 2023 (D.3.3 al. 5), ils ont retenu que le recourant était en principe tenu de rembourser cette somme. Dans la mesure où il s'agissait d'avoirs libérés de prévoyance destinés à être utilisés pour les dépenses d'entretien et que le recourant avait indiqué avoir utilisé la somme en cause pour payer des factures, les juges cantonaux ont examiné si les montants invoqués à titre de dépenses pouvaient être portés en déduction de la somme totale à rembourser. Après avoir examiné les justificatifs sur les montants payés par le recourant, ils ont jugé que seulement 304 fr. 20 relatifs à un décompte de l'impôt cantonal pouvait être déduit de 6'500 fr.</w:t>
      </w:r>
    </w:p>
    <w:p>
      <w:r>
        <w:rPr>
          <w:b/>
        </w:rPr>
        <w:t>E. 4.1</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145 I 108 consid. 4.4.1).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4.2</w:t>
      </w:r>
    </w:p>
    <w:p>
      <w:r>
        <w:t>Le recourant demande tout d'abord que la pénalité qui lui a été infligée soit réduite à un mois pour "faute légère et circonstances atténuantes". Il ne prétend toutefois pas avoir contesté cet aspect de la décision de l'intimé devant les juges cantonaux, si bien que celui-ci est entré en force. Ensuite, lorsque le recourant soutient que les sommes de 1'203 fr. 10 et de 1'337 fr. 20 concernant respectivement une facture SERAFE et des primes d'assurance-maladie auraient dû être portées en déduction du montant de 6'500 fr., il ne fait que répéter ce qu'il a demandé devant la cour cantonale sans aucunement discuter les motifs retenus dans l'arrêt attaqué pour écarter son argumentation. Un tel procédé ne respecte pas les exigences minimales de motivation posées aux art. 42 et 106 al. 2 LTF .</w:t>
      </w:r>
    </w:p>
    <w:p>
      <w:r>
        <w:t>Il s'ensuit que le recours est irrecevable.</w:t>
      </w:r>
    </w:p>
    <w:p>
      <w:r>
        <w:rPr>
          <w:b/>
        </w:rPr>
        <w:t>E. 5</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