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8C_176/2007 vom 25. Oktober 2007</w:t>
      </w:r>
    </w:p>
    <w:p>
      <w:r>
        <w:t>Bundesgericht, 2007-10-25, DE</w:t>
      </w:r>
    </w:p>
    <w:p>
      <w:r>
        <w:rPr>
          <w:b/>
        </w:rPr>
        <w:t xml:space="preserve">Quelle: </w:t>
      </w:r>
      <w:r>
        <w:t>https://mcp.opencaselaw.ch/entscheid/bger_8C_176_2007</w:t>
      </w:r>
    </w:p>
    <w:p>
      <w:r>
        <w:t>FR: TF 8C_176/2007 du 25 octobre 2007</w:t>
      </w:r>
    </w:p>
    <w:p>
      <w:r>
        <w:t>IT: TF 8C_176/2007 del 25 ottobre 2007</w:t>
      </w:r>
    </w:p>
    <w:p>
      <w:pPr>
        <w:pStyle w:val="Heading2"/>
      </w:pPr>
      <w:r>
        <w:t>Erwägungen</w:t>
      </w:r>
    </w:p>
    <w:p>
      <w:r>
        <w:rPr>
          <w:b/>
        </w:rPr>
        <w:t>E. 1.1</w:t>
      </w:r>
    </w:p>
    <w:p>
      <w:r>
        <w:t>Weil der angefochtene Entscheid nach dem Inkrafttreten des Bundesgesetzes über das Bundesgericht vom 17. Juni 2005 (BGG; SR 173.110) auf den 1. Januar 2007 (AS 2006 1242) ergangen ist, untersteht die Beschwerde dem neuen Recht ( Art. 132 Abs. 1 BGG ).</w:t>
      </w:r>
    </w:p>
    <w:p>
      <w:r>
        <w:rPr>
          <w:b/>
        </w:rPr>
        <w:t>E. 1.2</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Streitig und zu prüfen ist die Rechtsfrage, ob die Ausrichtung der Invalidenrente des Beschwerdegegners während der Dauer der Untersuchungshaft und des vorzeitigen Strafvollzuges sistiert werden kann.</w:t>
      </w:r>
    </w:p>
    <w:p>
      <w:r>
        <w:rPr>
          <w:b/>
        </w:rPr>
        <w:t>E. 3</w:t>
      </w:r>
    </w:p>
    <w:p>
      <w:r>
        <w:t>Die Auszahlung von Geldleistungen mit Erwerbsersatzcharakter kann gemäss Art. 21 Abs. 5 ATSG ganz oder teilweise eingestellt werden, solange sich die versicherte Person im Straf- oder Massnahmenvollzug befindet; ausgenommen sind die Geldleistungen für Angehörige im Sinne von Art. 21 Abs. 3 ATSG . In BGE 133 V 1 wurde entschieden, dass Art. 21 Abs. 5 ATSG an der bisherigen Rechtsprechung ( BGE 116 V 323 ), wonach Untersuchungshaft von gewisser Dauer in gleicher Weise Anlass zur Rentensistierung gibt wie jede andere Form des von einer Strafbehörde angeordneten Freiheitsentzuges, nichts geändert hat. Das Gericht hat in diesem Urteil eine Auslegung der seit 1. Januar 2003 anwendbaren Gesetzesbestimmung vorgenommen und dargelegt, dass die teleologische und die Rechtsgleichheit miteinbeziehende Betrachtungsweise den Rechtssinn des Art. 21 Abs. 5 ATSG aufzeigt, weshalb vom Wortlaut der Norm abzuweichen ist und auch die Untersuchungshaft von gewisser Dauer, in Anlehnung an die gemäss Art. 88a IVV revisionsrechtlich massgebende Zeitspanne von einer Dauer von mehr als drei Monaten, Anlass zu einer Rentensistierung gibt. Ratio legis ist nämlich die Gleichbehandlung der invaliden mit der validen inhaftierten Person, welche durch einen Freiheitsentzug ihr Einkommen verliert. Entscheidend ist, dass eine verurteilte Person wegen der Verbüssung einer Strafe an einer Erwerbstätigkeit verhindert ist. Nur wenn die Vollzugsart der verurteilten versicherten Person die Möglichkeit bietet, eine Erwerbstätigkeit auszuüben und somit selber für die Lebensbedürfnisse aufzukommen, verbietet es sich, den Rentenanspruch zu sistieren ( BGE 133 V 1 E. 4.2.4.1 S. 6).</w:t>
      </w:r>
    </w:p>
    <w:p>
      <w:r>
        <w:rPr>
          <w:b/>
        </w:rPr>
        <w:t>E. 4.1</w:t>
      </w:r>
    </w:p>
    <w:p>
      <w:r>
        <w:t>Was die Ausrichtung der Invalidenrente während der Untersuchungshaft anbelangt, befolgt die Vorinstanz die Rechtsprechung des Bundesgerichts und lässt die Sistierung der Rente durch die IV-Stelle als grundsätzlich zulässig gelten. Bezüglich des vorzeitigen Strafvollzuges hält das kantonale Gericht fest, dass dieser, gleich wie die Untersuchungshaft, vom Wortlaut des Art. 21 Abs. 5 ATSG nicht erfasst werde, insgesamt aber doch näher beim Strafvollzug als bei der Untersuchungshaft anzusiedeln und daher im Anwendungsbereich dieser Bestimmung ersterem gleichzustellen sei. Bei Art. 21 Abs. 5 ATSG handle es sich indessen - so die Vorinstanz - um eine Kann-Vorschrift, weshalb durch eine einzelfallbezogene Prüfung abzuklären sei, ob durch die weitere Rentenausrichtung eine geradezu stossende Besserstellung des invaliden gegenüber dem validen Gefangenen resultieren würde. Insbesondere sei zu prüfen, ob dem invaliden - wie dem validen - Gefangenen eine Arbeit nach Art. 81 Abs. 1 StGB möglich sei, inwiefern er dadurch ein Startkapital ersparen könne ( Art. 83 Abs. 2 StGB ) und ob er an den Vollzugskosten beteiligt werde ( Art. 380 StGB ).</w:t>
      </w:r>
    </w:p>
    <w:p>
      <w:r>
        <w:rPr>
          <w:b/>
        </w:rPr>
        <w:t>E. 4.2</w:t>
      </w:r>
    </w:p>
    <w:p>
      <w:r>
        <w:t>Wie das kantonale Gericht zutreffend erkannt hat, ist Art. 21 Abs. 5 ATSG auf die Untersuchungshaft und erst recht auf den vorzeitigen Strafvollzug, der näher beim in der Bestimmung erwähnten Straf- und Massnahmenvollzug anzusiedeln ist als die Untersuchungshaft, grundsätzlich anwendbar. Ebenfalls richtig ist, dass es sich bei Art. 21 Abs. 5 ATSG um eine Kann-Vorschrift handelt. In BGE 133 V 1 E. 4.2.4.1 S. 6 wurde indessen klargestellt, dass sich eine Sistierung der Rentenleistungen lediglich dort nicht rechtfertigt, wo die Vollzugsart der verurteilten versicherten Person die Möglichkeit bietet, eine Erwerbstätigkeit auszuüben und somit selber für die Lebensbedürfnisse aufzukommen. So erlaubt es die Kann-Vorschrift, den besonderen Umständen Rechnung zu tragen, wenn eine gesunde Person trotz Straf- oder Massnahmenvollzug einer Erwerbstätigkeit nachgehen könnte wie in der Halbgefangenschaft oder Halbfreiheit (vgl. Kieser, ATSG-Kommentar, N 78 zu Art. 21 ATSG ). Wie das Bundesamt für Sozialversicherungen vorbringt, fällt die von der Vorinstanz diesbezüglich angeführte Arbeitspflicht gemäss Art. 81 Abs. 1 StGB nicht unter diese Erwerbstätigkeit, handelt es sich dabei doch um einen Arbeitseinsatz in einem geschlossenen System, welcher mit der Arbeit im Erwerbsleben auch lohnmässig nicht vergleichbar ist. Soweit die Vorinstanz die eine Abweichung von Art. 21 Abs. 5 ATSG rechtfertigende Schlechterstellung des invaliden Gefangenen darin sieht, dass sich dieser kein Startkapital im Sinne von Art. 83 Abs. 2 StGB aufbauen könne, ist mit dem beschwerdeführenden Bundesamt darauf hinzuweisen, dass dieses - regelmässig bescheidene - Startkapital eine Rücklage für die Zeit nach der Entlassung darstellt, in welcher sich ein gesunder Gefangener, der entlassen wird, um eine Erwerbsmöglichkeit kümmern muss. Dieser Rücklage bedarf der invalide Gefangene nach Beendigung des Straf- oder Massnahmenvollzuges nicht, da er seine Rente wieder ausbezahlt erhält. Eine gänzliche oder teilweise Weiterauszahlung der Rente während des vorzeitigen Straf- und Massnahmenvollzuges würde vielmehr zu einer stossenden Besserstellung des invaliden Gefangenen führen. Mit einer Beteiligung an den Kosten des Straf- und Massnahmenvollzuges nach Art. 380 StGB schliesslich ist bei einem invaliden Gefangenen nicht zu rechnen, da die Voraussetzungen gemäss Art. 380 Abs. 2 lit. a-c StGB in der Regel nicht erfüllt sind. So fallen, wenn der invalide Gefangene nicht arbeitsfähig ist und nicht arbeitet, eine Verrechnung mit seinem Arbeitsentgelt während des Vollzugs (lit. a), eine Beteiligung nach Massgabe seines Einkommens und Vermögens bei Verweigerung einer zugewiesenen Arbeit (lit. b) sowie ein Abzug vom Einkommen aus einer Tätigkeit im Rahmen der Halbgefangenschaft, des Arbeitsexternats oder des Wohn- und Arbeitsexternats ausser Betracht.</w:t>
      </w:r>
    </w:p>
    <w:p>
      <w:r>
        <w:rPr>
          <w:b/>
        </w:rPr>
        <w:t>E. 5</w:t>
      </w:r>
    </w:p>
    <w:p>
      <w:r>
        <w:t>Die Gerichtskosten werden dem unterliegenden Beschwerdegegner auferlegt ( Art. 66 Abs. 1 BGG ). Gleichzeitig wird ihm die unentgeltliche Rechtspflege (Prozessführung und Verbeiständung; Art. 64 BGG ) gewährt, da die hiefür erforderlichen Voraussetzungen (Bedürftigkeit, Gebotenheit einer Verbeiständung) gegeben sind ( BGE 125 V 201 E. 4a S. 202 und 371 E. 5b S. 372, je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