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8C_175/2025 vom 26. März 2025</w:t>
      </w:r>
    </w:p>
    <w:p>
      <w:r>
        <w:t>Bundesgericht, 2025-03-26, DE</w:t>
      </w:r>
    </w:p>
    <w:p>
      <w:r>
        <w:rPr>
          <w:b/>
        </w:rPr>
        <w:t xml:space="preserve">Quelle: </w:t>
      </w:r>
      <w:r>
        <w:t>https://mcp.opencaselaw.ch/entscheid/bger_8C_175_2025</w:t>
      </w:r>
    </w:p>
    <w:p>
      <w:r>
        <w:t>FR: TF 8C_175/2025 du 26 mars 2025</w:t>
      </w:r>
    </w:p>
    <w:p>
      <w:r>
        <w:t>IT: TF 8C_175/2025 del 26 marzo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bestätigte mit Urteil vom 30. Januar 2025 den auf kantonalem Recht beruhenden Entscheid der Beschwerdegegnerin vom 3. Juli 2023, worin an der Rückerstattung von zu Unrecht bezogenen Sozialhilfeleistungen in der Höhe von Fr. 20'617.40 unter gleichzeitiger Verrechnung derselben während vorerst zwölf Monaten mit 15 % des Grundbedarfs für den Lebensunterhalt festgehalten wurde. Die auf Fr. 2'270.- festgelegte Gerichtsgebühr wurde dem Ausgang des Verfahrens entsprechend dem Beschwerdeführer auferlegt.</w:t>
      </w:r>
    </w:p>
    <w:p>
      <w:r>
        <w:rPr>
          <w:b/>
        </w:rPr>
        <w:t>E. 3</w:t>
      </w:r>
    </w:p>
    <w:p>
      <w:r>
        <w:t>Der Beschwerdeführer beschränkt sich letztinstanzlich darauf, unter Verweis auf seinen Gesundheitszustand sinngemäss um Aufhebung des vorinstanzlichen Urteils einschliesslich der Kostenziffer zu ersuchen. Inwiefern das vorinstanzliche Urteil bundesrechtswidrig sein soll, ist damit nicht ansatzweise dargetan. Damit ist den eingangs in E. 1 aufgezeigten Anforderungen an eine sachbezogene Begründung nicht Genüge 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