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8C_174/2010 vom 30. Juli 2010</w:t>
      </w:r>
    </w:p>
    <w:p>
      <w:r>
        <w:t>Bundesgericht, 2010-07-30, FR</w:t>
      </w:r>
    </w:p>
    <w:p>
      <w:r>
        <w:rPr>
          <w:b/>
        </w:rPr>
        <w:t xml:space="preserve">Quelle: </w:t>
      </w:r>
      <w:r>
        <w:t>https://mcp.opencaselaw.ch/entscheid/bger_8C_174_2010</w:t>
      </w:r>
    </w:p>
    <w:p>
      <w:r>
        <w:t>FR: TF 8C_174/2010 du 30 juillet 2010</w:t>
      </w:r>
    </w:p>
    <w:p>
      <w:r>
        <w:t>IT: TF 8C_174/2010 del 30 luglio 2010</w:t>
      </w:r>
    </w:p>
    <w:p>
      <w:pPr>
        <w:pStyle w:val="Heading2"/>
      </w:pPr>
      <w:r>
        <w:t>Erwägungen</w:t>
      </w:r>
    </w:p>
    <w:p>
      <w:r>
        <w:rPr>
          <w:b/>
        </w:rPr>
        <w:t>E. 1</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de la recourante à l'indemnité journalière de chômage, plus précisément sur le point de savoir s'il faut nier ce droit en raison des liens existant entre elle et son dernier employeur.</w:t>
      </w:r>
    </w:p>
    <w:p>
      <w:r>
        <w:rPr>
          <w:b/>
        </w:rPr>
        <w:t>E. 3</w:t>
      </w:r>
    </w:p>
    <w:p>
      <w:r>
        <w:t>Selon l' art. 31 al. 3 let .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rPr>
          <w:b/>
        </w:rPr>
        <w:t>E. 4</w:t>
      </w:r>
    </w:p>
    <w:p>
      <w:r>
        <w:t>Dans l' ATF 123 V 234 , le Tribunal fédéral des assurances a explicité les motifs fondant l'application analogique de cette règle à l'octroi de l'indemnité de chômage. Il suffit d'y renvoyer. Ainsi, la jurisprudence étend l'exclusion du conjoint du droit à l'indemnité en cas de réduction de l'horaire de travail, au droit à l'indemnité de chômage (cf. arrêt C 193/04 du 7 décembre 2004 in DTA 2005 p. 130; voir aussi REGINA JÄGGI, Eingeschränkter Anspruch auf Arbeitslosenentschädigung bei arbeitgeberähnlicher Stellung durch analoge Anwendung von Art. 31 Abs. 3 lit. c AVIG, RSAS 2004, p. 9 sv.). En effet, les conjoints peuvent exercer une influence sur la perte de travail qu'ils subissent, ce qui rend leur chômage difficilement contrôlable (cf. THOMAS NUSSBAUMER, Arbeitslosenversicherung, in : Schweizerisches Bundesverwaltungsrecht [SBVR], 2° éd. 2007, p. 2315 n. 461).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w:t>
      </w:r>
    </w:p>
    <w:p>
      <w:r>
        <w:rPr>
          <w:b/>
        </w:rPr>
        <w:t>E. 5</w:t>
      </w:r>
    </w:p>
    <w:p>
      <w:r>
        <w:t>En l'espèce, il est établi que la recourante a travaillé au service de l'entreprise de son époux, "X.________", du 1er octobre 2005 au 31 décembre 2008 et qu'elle a requis l'indemnité de chômage immédiatement après l'échéance de son contrat de travail. L'entreprise en question est inscrite au registre du commerce. Elle est toujours en activité. C'est dire que "X.________" garde toujours la faculté de poursuivre son but social pour la réalisation duquel la recourante peut être réengagée (pour des cas comparables cf. arrêts 8C_461/2009 du 8 décembre 2009 consid. 5 et C 157/06 du 22 janvier 2007 consid. 3.2.). Dans un tel contexte, la perte de travail n'est pas aisément vérifiable par la caisse, ce qui justifie de ne pas assimiler la recourante à une personne qui aurait définitivement quitté l'entreprise qui l'employait. Contrairement à ce que soutient la recourante, le fait qu'elle avait le statut d'une simple employée, non inscrite au registre du commerce, n'est pas décisif au regard de la jurisprudence susmentionnée.</w:t>
      </w:r>
    </w:p>
    <w:p>
      <w:r>
        <w:rPr>
          <w:b/>
        </w:rPr>
        <w:t>E. 6</w:t>
      </w:r>
    </w:p>
    <w:p>
      <w:r>
        <w:t>Vu ce qui précède, le recours est manifestement mal fondé et doit être rejeté selon la procédure simplifiée de l' art. 109 al. 2 let. a LTF . Les frais de justice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