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8C_171/2025 vom 26. März 2025</w:t>
      </w:r>
    </w:p>
    <w:p>
      <w:r>
        <w:t>Bundesgericht, 2025-03-26, DE</w:t>
      </w:r>
    </w:p>
    <w:p>
      <w:r>
        <w:rPr>
          <w:b/>
        </w:rPr>
        <w:t xml:space="preserve">Quelle: </w:t>
      </w:r>
      <w:r>
        <w:t>https://mcp.opencaselaw.ch/entscheid/bger_8C_171_2025</w:t>
      </w:r>
    </w:p>
    <w:p>
      <w:r>
        <w:t>FR: TF 8C_171/2025 du 26 mars 2025</w:t>
      </w:r>
    </w:p>
    <w:p>
      <w:r>
        <w:t>IT: TF 8C_171/2025 del 26 marzo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27. Dezember 2024 den Einspracheentscheid der Beschwerdegegnerin vom 28. Juni 2024 insoweit, als der Beschwerdeführerin für den Monat Januar 2024 Zusatzleistungen zur AHV/IV in der Höhe von Fr. 1'066.- zugesprochen und Fr. 610.- für den diesbezüglich bereits zu viel ausgerichteten Betrag zurückgefordert wurden. Es führte in Auseinandersetzung mit den Parteivorbringen näher aus, weshalb die bei der Bedarfsbemessung vorgenommene Umrechnung der deutschen Rente in Schweizer Franken rechtmässig sei und die geltend gemachten Kontoführungsspesen von Fr. 60.- nicht als Ausgaben berücksichtigt werden könnten. Darüber hinaus hob es den Einspracheentscheid auf und wies die Beschwerdegegnerin an, für die Zeit ab Februar 2024 die Zusatzleistungen im Sinne der Erwägungen neu festzulegen.</w:t>
      </w:r>
    </w:p>
    <w:p>
      <w:r>
        <w:rPr>
          <w:b/>
        </w:rPr>
        <w:t>E. 3</w:t>
      </w:r>
    </w:p>
    <w:p>
      <w:r>
        <w:t>Soweit die Beschwerdeführerin überhaupt gegen den vor Bundesgericht allein anfechtbaren Teil des vorinstanzlichen Urteils, nämlich der Bestätigung der für im Januar 2024 festgelegten Höhe der Zusatzleistung mit samt der dazugehörigen Rückforderung (Teilentscheid; Art. 91 BGG ), Beschwerde erhebt, kann darauf mangels sachbezogener Begründung nicht eingetreten werden. Die Beschwerdeführerin zeigt nicht auf, inwieweit die von der Vorinstanz in diesem Zusammenhang getroffenen Sachverhaltsfeststellungen offensichtlich unrichtig (vgl. Art. 97 Abs. 1 BGG ) - mithin willkürlich ( BGE 146 IV 88 E. 1.3.1 f. und 140 III 115 E. 2; je mit Hinweisen) - oder sonstwie bundesrechtswidrig sein sollen. Ebenso wenig legt sie dar, weshalb die darauf beruhenden Erwägungen gegen Bundesrecht verstossen oder einen anderen Beschwerdegrund (vgl. Art. 95 lit. a-e BGG ) gesetzt haben könnten. Allein einen anderen Umrechnungskurs zu fordern und darüber hinaus das vorinstanzliche Urteil pauschal als skandalös zu bezeichnen, reicht nicht aus.</w:t>
      </w:r>
    </w:p>
    <w:p>
      <w:r>
        <w:rPr>
          <w:b/>
        </w:rPr>
        <w:t>E. 4</w:t>
      </w:r>
    </w:p>
    <w:p>
      <w:r>
        <w:t>Soweit die Beschwerdeführerin zudem das vorinstanzliche Urteil bezogen auf denjenigen Teil kritisiert, in welchem der Einspracheentscheid aufgehoben und die Beschwerdegegnerin angewiesen wird, die Zusatzleistungen für die Zeit ab Februar 2024 im Sinne der Erwägungen neu festzulegen, ist darauf ebenfalls nicht einzutreten. Denn diesbezüglich liegt ein Zwischenentscheid vor, welcher mangels nicht wieder gutzumachenden Nachteils im Sinne von Art. 93 BGG von vornherein nicht anfechtbar ist (Nähers dazu statt vieler: Urteile 8C_4/2025 vom 8. Januar 2025 mit Hinweisen). Ohnehin erfüllt die Beschwerdeschrift auch betreffend die diesbezüglichen Erwägungen im angefochtenen Urteil die in E. 1 hiervor aufgezeigten Begründungsanforderungen nicht. Die Eingabe weist gesamthaft gesehen querulatorische Züge auf (siehe dazu Art. 33 Abs. 2, Art. 42 Abs. 7 und Art. 108 lit. c BGG ).</w:t>
      </w:r>
    </w:p>
    <w:p>
      <w:r>
        <w:rPr>
          <w:b/>
        </w:rPr>
        <w:t>E. 5</w:t>
      </w:r>
    </w:p>
    <w:p>
      <w:r>
        <w:t>Erweist sich die Beschwerde als offensichtlich unzulässig bzw. ungenügend begründet, so führt dies zu einem Nichteintreten auf das Rechtsmittel im vereinfachten Verfahren nach Art. 108 Abs. 1 lit. a und b BGG .</w:t>
      </w:r>
    </w:p>
    <w:p>
      <w:r>
        <w:rPr>
          <w:b/>
        </w:rPr>
        <w:t>E. 6</w:t>
      </w:r>
    </w:p>
    <w:p>
      <w:r>
        <w:t>In Anwendung von Art. 66 Abs. 1 Satz 2 BGG wird ausnahmsweise, auf die Erhebung von Gerichtskosten verzichtet. Indessen darf die Beschwerdeführerin bei gleichbleibender künftiger Prozessführung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