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8C_170/2022 vom 22. Februar 2023</w:t>
      </w:r>
    </w:p>
    <w:p>
      <w:r>
        <w:t>Bundesgericht, 2023-02-22, DE</w:t>
      </w:r>
    </w:p>
    <w:p>
      <w:r>
        <w:rPr>
          <w:b/>
        </w:rPr>
        <w:t xml:space="preserve">Quelle: </w:t>
      </w:r>
      <w:r>
        <w:t>https://mcp.opencaselaw.ch/entscheid/bger_8C_170_2022</w:t>
      </w:r>
    </w:p>
    <w:p>
      <w:r>
        <w:t>FR: TF 8C_170/2022 du 22 février 2023</w:t>
      </w:r>
    </w:p>
    <w:p>
      <w:r>
        <w:t>IT: TF 8C_170/2022 del 22 febbraio 2023</w:t>
      </w:r>
    </w:p>
    <w:p>
      <w:pPr>
        <w:pStyle w:val="Heading2"/>
      </w:pPr>
      <w:r>
        <w:t>Erwägungen</w:t>
      </w:r>
    </w:p>
    <w:p>
      <w:r>
        <w:rPr>
          <w:b/>
        </w:rPr>
        <w:t>E. 1</w:t>
      </w:r>
    </w:p>
    <w:p>
      <w:r>
        <w:t>Das Bundesgericht prüft die Eintretensvoraussetzungen von Amtes wegen und mit freier Kognition ( Art. 29 Abs. 1 BGG ; BGE 142 II 363 E. 1 Ingress mit Hinweis).</w:t>
      </w:r>
    </w:p>
    <w:p>
      <w:r>
        <w:rPr>
          <w:b/>
        </w:rPr>
        <w:t>E. 1.1</w:t>
      </w:r>
    </w:p>
    <w:p>
      <w:r>
        <w:t>Angefochten ist ein Endentscheid einer letzten kantonalen Instanz ( Art. 86 Abs. 1 lit. d, Art. 90 BGG ), der ein öffentlich-rechtliches Arbeitsverhältnis, d.h. eine öffentlich-rechtliche Angelegenheit im Sinne von Art. 82 lit. a BGG betrifft. Mit dem Begehren um eine Erklärung, die Kündigung sei altershalber erfolgt, stehen geldwerte Ansprüche in Zusammenhang. Denn gemäss dem vorinstanzlichen Urteil kommt einer arbeitnehmenden Person im Sinne von Art. 8 des hier massgeblichen Vorsorgereglements der BVK vom 18. November 2013, gültig ab 1. September 2014 (nachfolgend: Vorsorgereglement), die vorzeitig altershalber entlassen wird, ein Anspruch auf eine lebenslängliche Altersrente zu (Art. 26 Abs. 1 des Vorsorgereglements). Somit liegt eine vermögensrechtliche Streitigkeit vor, weshalb der Ausschlussgrund von Art. 83 lit. g BGG nicht gegeben ist. Die Beschwerde ist auf dem Gebiet der öffentlich-rechtlichen Arbeitsverhältnisse unter anderem zulässig, wenn der Streitwert nicht weniger als Fr. 15'000.- beträgt ( Art. 85 Abs. 1 lit. b BGG ). Laut Vorinstanz beläuft sich die (nach wie vor) streitige Summe auf über Fr. 100'000.-, was unbestritten ist (vgl. Art. 51 Abs. 1 lit. a BGG ). Mithin ist die Streitwertgrenze im vorliegenden Verfahren offensichtlich erreicht, so dass auf die Beschwerde grundsätzlich einzutreten ist.</w:t>
      </w:r>
    </w:p>
    <w:p>
      <w:r>
        <w:rPr>
          <w:b/>
        </w:rPr>
        <w:t>E. 1.2</w:t>
      </w:r>
    </w:p>
    <w:p>
      <w:r>
        <w:t>Da die Voraussetzungen der Beschwerde in öffentlich-rechtlichen Angelegenheiten gegeben sind, ist auf die Verfassungsbeschwerde infolge Subsidiarität ( Art. 113 BGG ) nicht einzutreten (Urteil 8C_79/2022 vom 1. Juli 2022 E. 1.2).</w:t>
      </w:r>
    </w:p>
    <w:p>
      <w:r>
        <w:rPr>
          <w:b/>
        </w:rPr>
        <w:t>E. 1.3.1</w:t>
      </w:r>
    </w:p>
    <w:p>
      <w:r>
        <w:t>Der Bezirksrat U.________ hat den Rekurs des Beschwerdeführers gegen den Entscheid der B.________ AG vom 20. Januar 2020 mit Beschluss vom 9. März 2021 abgewiesen mit der Begründung, es handle sich um eine bereits abgeurteilte Sache. Bei diesem Ergebnis wäre grundsätzlich ein Nichteintreten angezeigt gewesen (vgl. BGE 142 III 210 E. 2; 139 III 126 E. 3.1). Dies spielt letztlich in Bezug auf den hier zu beurteilenden Streitgegenstand eine Rolle. Das kantonale Gericht hat die gegen den Beschluss vom 9. März 2021 erhobene Beschwerde abgewiesen und dabei bestätigt, dass es sich um eine bereits abgeurteilte Sache handle. Als Streitgegenstand vor Bundesgericht kommt nur in Frage, was die Vorinstanz überhaupt entschieden hat oder zu entscheiden gehabt hätte. Der Streitgegenstand kann vor Bundesgericht zwar eingeschränkt (minus), aber nicht ausgeweitet (plus) oder geändert (aliud) werden ( BGE 142 I 155 E. 4.4.2; Urteil 8C_281/2022 vom 24. Oktober 2022 E. 4.4). Da im kantonalen Beschwerdeverfahren einzig die Frage der res iudicata zu überprüfen gewesen und keine materielle Prüfung erfolgt ist, erschöpft sich der Streitgegenstand vor Bundesgericht in eben dieser prozessualen Thematik. Auf sämtliche Leistungsanträge des Beschwerdeführers kann daher nicht eingetreten werden.</w:t>
      </w:r>
    </w:p>
    <w:p>
      <w:r>
        <w:rPr>
          <w:b/>
        </w:rPr>
        <w:t>E. 1.3.2</w:t>
      </w:r>
    </w:p>
    <w:p>
      <w:r>
        <w:t>Aus der Beschwerdebegründung, die zur Auslegung der Rechtsbegehren heranzuziehen ist ( BGE 123 IV 125 E. 1; Urteil 8C_553/2022 vom 13. Januar 2023 E. 1.1), geht hervor, dass sich der Beschwerdeführer gegen die vorinstanzliche Schlussfolgerung der abgeurteilten Sache wehrt. Somit ist auf die damit in Zusammenhang stehenden Rügen im Nachfolgenden einzugehen.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 95 BGG beruht und wenn die Behebung des Mangels für den Ausgang des Verfahrens entscheidend sein kann (Art. 97 Abs. 1, Art. 105 Abs. 1 und 2 BGG ). Offensichtlich unrichtig bedeutet dabei willkürlich ( BGE 145 V 188 E. 2; 140 III 115 E. 2; Urteil 8C_795/2020 vom 17. August 2021 E. 2.2).</w:t>
      </w:r>
    </w:p>
    <w:p>
      <w:r>
        <w:rPr>
          <w:b/>
        </w:rPr>
        <w:t>E. 2.3</w:t>
      </w:r>
    </w:p>
    <w:p>
      <w:r>
        <w:t>Hinsichtlich der Verletzung von Grundrechten und von kantonalem sowie interkantonalem Recht gilt eine qualifizierte Rügepflicht ( Art. 106 Abs. 2 BGG ; BGE 138 I 274 E. 1.6 mit Hinweisen).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geht es nicht ein ( Art. 42 Abs. 1 und 2 BGG ; BGE 141 IV 249 E. 1.3.1; 140 III 264 E. 2.3; Urteil 8C_812/2019 vom 19. Mai 2020 E. 2.4). Da keine gesetzliche Ausnahme besteht ( Art. 95 lit. c-e BGG ), ist die Prüfungsbefugnis des Bundesgerichts gegenüber kantonalem Recht auf die Verletzung verfassungsmässiger Rechte, insbesondere auf Willkür, beschränkt ( Art. 9 BV ; Urteil 8C_795/2020 vom 17. August 2021 E. 2.3 mit Hinweis). Gemäss Rechtsprechung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 144 I 170 E. 7.3; 142 V 513 E. 4.2; Urteil 8C_468/2021 vom 2. Februar 2022 E. 2.3 mit Hinweis).</w:t>
      </w:r>
    </w:p>
    <w:p>
      <w:r>
        <w:rPr>
          <w:b/>
        </w:rPr>
        <w:t>E. 3.1</w:t>
      </w:r>
    </w:p>
    <w:p>
      <w:r>
        <w:t>Die Vorinstanz hat für das Bundesgericht verbindlich festgestellt, dass sich der Beschwerdeführer mit Rekursen vom Januar und April 2015 gegen die ordentliche und die fristlose Auflösung seines Anstellungsverhältnisses an den Bezirksrat U.________ gewandt habe. Ein Anspruch auf Entlassung altershalber sei vom Beschwerdeführer in jenen Verfahren nicht geltend gemacht worden. Eine Vereinbarung zwischen den Parteien, wonach das Arbeitsverhältnis des Beschwerdeführers einvernehmlich infolge Frühpensionierung aufgelöst werde, sei zuvor im Herbst 2014 nicht zustande gekommen. In Anwendung der Rechtsgrundlagen, wie sie sich ab 1. Mai 2015 (so namentlich: § 16 lit. g und § 24b des kantonalen Personalgesetzes vom 27. September 1998 [PG; LS 177.10]) präsentiert haben, ist das kantonale Gericht davon ausgegangen, dass sich die Entlassung altershalber gemäss § 16 lit. g PG gleich auf das Anstellungsverhältnis auswirke wie eine ordentliche Kündigung durch den Kanton nach § 16 lit. a PG (vgl. § 24b Abs. 1 lit. a und lit. b sowie Abs. 2 PG ). Diese beiden Beendigungsgründe könnten daher nicht nebeneinander bestehen. Wenn demnach eine kantonal angestellte Person zu Unrecht nicht vorzeitig altershalber entlassen, sondern ihr Anstellungsverhältnis stattdessen mit einer ordentlichen Kündigung aufgelöst werde, sei dies (rechtzeitig) mit einem gegen die Kündigung gerichteten Rechtsmittel geltend zu machen; eine nachträgliche (erneute) Beurteilung der rechtskräftigen Auflösung des Arbeitsverhältnisses im Hinblick darauf, ob die Voraussetzungen von § 24b Abs. 1 PG erfüllt seien, entfalle.</w:t>
      </w:r>
    </w:p>
    <w:p>
      <w:r>
        <w:t>Das kantonale Gericht hat mit Blick auf das Gesagte nachvollziehbar dargelegt, dass sich der Beschwerdeführer den rechtskräftigen Beschluss des Bezirksrates U.________ vom 25. Oktober 2018 entgegenhalten lassen müsse und er somit keine personalrechtliche Neubeurteilung der im Jahr 2015 erfolgten Beendigung seines Anstellungsverhältnisses mit der B.________ AG mehr verlangen könne. Dieser Auffassung folgt auch die Beschwerdegegnerin in ihrer Vernehmlassung.</w:t>
      </w:r>
    </w:p>
    <w:p>
      <w:r>
        <w:rPr>
          <w:b/>
        </w:rPr>
        <w:t>E. 3.2</w:t>
      </w:r>
    </w:p>
    <w:p>
      <w:r>
        <w:t>Dagegen, dass die Vorinstanz unter Anwendung der entsprechenden kantonalen Rechtsgrundlagen ab 1. Mai 2015 von einer bereits abgeurteilten Sache ausgegangen ist, opponiert der Beschwerdeführer grundsätzlich nicht. Allerdings erachtet er diese Rechtsgrundlagen in seinem Fall für nicht einschlägig. Er bezieht sich dabei auf die Kündigungszeitpunkte im Dezember 2014 und März 2015 und rügt, die Sichtweise des kantonalen Gerichts verfange nur dann, wenn der vorsorgerechtliche Anspruch gemäss Art. 8 Abs. 5 des Vorsorgereglements tatsächlich durch die Vorinstanzen abschliessend beurteilt und negiert worden wäre. Dies sei aber zu verneinen. Denn er habe sich im Moment der Rekurserhebung (und damit innert Rechtsmittelfrist) nicht auf einen Tatbestand der Entlassung altershalber berufen können. Die massgebenden Normen ( § 16 und § 24b PG ) seien erst seit 1. Mai 2015 in Kraft. Entsprechend könne es sich auch nicht um eine personalrechtlich abgeurteilte Sache handeln. Dabei betont der Beschwerdeführer jedoch, er habe nie verlangt, dass die B.________ AG erkläre, das Arbeitsverhältnis zwischen den Parteien sei personalrechtlich betrachtet durch vorzeitige Entlassung altershalber beendet worden. Ihm gehe es vielmehr ausschliesslich darum, dass der Tatbestand der vorzeitigen Entlassung altershalber im Sinne von Art. 8 Abs. 2 des Vorsorgereglements erfüllt sei und dies der Vorsorgeeinrichtung gemeldet werde. Dabei stützt er sich insbesondere auf die bundesgerichtliche Rechtsprechung gemäss Urteil 9C_426/2008 vom 23. Dezember 2008.</w:t>
      </w:r>
    </w:p>
    <w:p>
      <w:r>
        <w:rPr>
          <w:b/>
        </w:rPr>
        <w:t>E. 4.1</w:t>
      </w:r>
    </w:p>
    <w:p>
      <w:r>
        <w:t>Das kantonale Gericht hat sich bereits mit der vom Beschwerdeführer zitierten Rechtsprechung befasst und erkannt, dass die BVK seit dem 1. Januar 2014 als privatrechtliche Stiftung organisiert sei. Bis zu diesem Zeitpunkt seien die Voraussetzungen und Folgen einer vorsorglichen Entlassung altershalber in den Statuten der Versicherungskasse geregelt gewesen. Nach der damaligen Rechtsprechung des Bundesgerichts solle es sich deshalb um ein rein vorsorgerechtliches Rechtsinstitut gehandelt haben, welches von der personalrechtlichen Beendigung des Dienstverhältnisses zu unterscheiden gewesen sei (Urteil 9C_426/2008 vom 23. Dezember 2008 E. 3.2 und E. 3.4, in: SZS 2009 S. 473). So sei es für die Begründung eines Anspruchs auf vorsorgerechtliche Leistungen aus einer Entlassung altershalber irrelevant gewesen, ob die Arbeitgeberin oder der Arbeitgeber eine Entlassung altershalber habe aussprechen wollen und ob die arbeitnehmende Person die Beendigung des Arbeitsverhältnisses als solche habe verstehen müssen. Die B.________ AG ergänzt diesbezüglich in ihrer Vernehmlassung, dass es dabei zwar um ein primär vorsorgerechtliches Rechtsinstitut gegangen sei. Allerdings habe dieses die personalrechtliche Behandlung der Entlassung altershalber bereits damals nicht ausgeschlossen.</w:t>
      </w:r>
    </w:p>
    <w:p>
      <w:r>
        <w:rPr>
          <w:b/>
        </w:rPr>
        <w:t>E. 4.2</w:t>
      </w:r>
    </w:p>
    <w:p>
      <w:r>
        <w:t>Selbst wenn nun im Sinne des Beschwerdeführers in Anwendung der soeben dargelegten Rechtsprechung davon auszugehen wäre, dass ein allfälliger Anspruch aus Art. 8 des Vorsorgereglements nicht unter die personalrechtlich abgeurteilte Sache fällt, könnte er daraus nichts zu seinen Gunsten ableiten. Denn unabhängig davon, ob eine "Konversion" der Kündigung in eine Entlassung altershalber gemäss Personalgesetz damals bereits möglich gewesen wäre oder nicht, würde es sich im Lichte der willkürfreien Darlegungen der Vorinstanz (E. 4.1 oben) beim Anspruch gemäss Art. 8 des Vorsorgereglements um einen vorsorgerechtlichen handeln, wie der Beschwerdeführer selber betont (vgl. E. 3.2 oben). Ein solcher Anspruch könnte, unabhängig von der Frage der res iudicata, so oder anders nicht im personalrechtlichen Verfahren beurteilt werden (vgl. Art. 73 BVG ).</w:t>
      </w:r>
    </w:p>
    <w:p>
      <w:r>
        <w:rPr>
          <w:b/>
        </w:rPr>
        <w:t>E. 5</w:t>
      </w:r>
    </w:p>
    <w:p>
      <w:r>
        <w:t>Vor dem Hintergrund des Gesagten kann letztlich offen bleiben, ob das kantonale Gericht bundesrechtskonform die Rechtsgrundlagen ab 1. Mai 2015 herangezogen hat oder nicht. Damit zielen die Rügen der Rechtsverweigerung ( Art. 29 Abs. 1 BV ), der Verletzung des Grundsatzes der Gesetzesmässigkeit und des Grundsatzes von Treu und Glauben ( Art. 5 und Art. 9 BV ) sowie der Verletzung des Grundsatzes der Rechtsgleichheit ( Art. 8 Abs. 1 BV ) ins Leere. Zusammenfassend ist festzuhalten, dass die Vorinstanz im Ergebnis mit der Abweisung der Beschwerde nicht in Willkür verfallen ist.</w:t>
      </w:r>
    </w:p>
    <w:p>
      <w:r>
        <w:rPr>
          <w:b/>
        </w:rPr>
        <w:t>E. 6</w:t>
      </w:r>
    </w:p>
    <w:p>
      <w:r>
        <w:t>Dem Ausgang des Verfahrens entsprechend sind die Gerichtskosten dem Beschwerdeführer aufzuerlegen ( Art. 66 Abs. 1 BGG ). Die in ihrem amtlichen Wirkungskreis obsiegende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