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8C_16/2019 vom 17. April 2019</w:t>
      </w:r>
    </w:p>
    <w:p>
      <w:r>
        <w:t>Bundesgericht, 2019-04-17, IT</w:t>
      </w:r>
    </w:p>
    <w:p>
      <w:r>
        <w:rPr>
          <w:b/>
        </w:rPr>
        <w:t xml:space="preserve">Quelle: </w:t>
      </w:r>
      <w:r>
        <w:t>https://mcp.opencaselaw.ch/entscheid/bger_8C_16_2019</w:t>
      </w:r>
    </w:p>
    <w:p>
      <w:r>
        <w:t>FR: TF 8C_16/2019 du 17 avril 2019</w:t>
      </w:r>
    </w:p>
    <w:p>
      <w:r>
        <w:t>IT: TF 8C_16/2019 del 17 aprile 2019</w:t>
      </w:r>
    </w:p>
    <w:p>
      <w:pPr>
        <w:pStyle w:val="Heading2"/>
      </w:pPr>
      <w:r>
        <w:t>Erwägungen</w:t>
      </w:r>
    </w:p>
    <w:p>
      <w:r>
        <w:rPr>
          <w:b/>
        </w:rPr>
        <w:t>E. 1.1</w:t>
      </w:r>
    </w:p>
    <w:p>
      <w:r>
        <w:t>Il ricorso al Tribunale federale, salvo eccezioni, è ammissibile soltanto contro le decisioni finali ( art. 90 LTF ). Alla base di questo principio il Tribunale federale, in qualità di autorità giudiziaria suprema della Confederazione ( art. 1 cpv. 1 LTF ), deve pronunciarsi una volta sola su un processo e soltanto quando è certa per il ricorrente l'esistenza di un danno definitivo ( DTF 139 V 604 consid. 3.2 pag. 607 con riferimenti).</w:t>
      </w:r>
    </w:p>
    <w:p>
      <w:r>
        <w:rPr>
          <w:b/>
        </w:rPr>
        <w:t>E. 1.2</w:t>
      </w:r>
    </w:p>
    <w:p>
      <w:r>
        <w:t>Il Tribunale amministrativo federale, rinviando alla propria prassi pubblicata ufficialmente ( DTAF 2010/37 ), ritiene che gli avvertimenti emessi dall'INSAI siano di principio decisioni impugnabili. In concreto, l'avvertimento del 24 luglio 2018 sarebbe da trattare come decisione, mentre la lettera del 7 settembre 2018, che risponde alle obiezioni, va considerata come una decisione su opposizione ( DTAF 2010/37 consid. 2.5.3). Tuttavia, per quanto attiene la procedura di ricorso dinanzi al Tribunale federale, sia l'avvertimento sia la lettera di risposta alle obiezioni non pongono fine al procedimento, ma configurano soltanto un primo passo, seppur irrinunciabile, verso l'aumento del premio (cfr. analogamente sentenza 8C_893/2017 del 22 febbraio 2018 consid. 1.3.1 con riferimenti). Qualora non fossero più riscontrate irregolarità sui cantieri, l'avvertimento non comporterebbe automaticamente un aumento del premio. Il giudizio su ricorso di irricevibilità della Corte federale di primo grado non muta alcunché al riguardo. Infatti, le decisioni su ricorso contro provvedimenti interlocutori, mantengono il carattere di decisione incidentale (cfr. da ultimo sentenza 1C_127/2019 del 2 aprile 2019 consid. 2.2).</w:t>
      </w:r>
    </w:p>
    <w:p>
      <w:r>
        <w:rPr>
          <w:b/>
        </w:rPr>
        <w:t>E. 1.3</w:t>
      </w:r>
    </w:p>
    <w:p>
      <w:r>
        <w:t>Posto che non si è in presenza di una decisione incidentale relativa alla competenza o alla ricusazione, il ricorso è ammissibile contro altre decisioni pregiudiziali e incidentali notificate separatamente se esse possono causare un pregiudizio irreparabile ( art. 93 cpv. 1 lett. a LTF ). Secondo la giurisprudenza, la nozione di pregiudizio irreparabile dev'essere interpretata restrittivamente, proprio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Il ricorrente non si esprime in alcun modo specificatamente su questo punto decisivo.</w:t>
      </w:r>
    </w:p>
    <w:p>
      <w:r>
        <w:rPr>
          <w:b/>
        </w:rPr>
        <w:t>E. 1.4</w:t>
      </w:r>
    </w:p>
    <w:p>
      <w:r>
        <w:t>Per il resto, la dimostrazione dell'esistenza delle condizioni di ammissibilità del ricorso, se non è manifesta, incombe a chi insorge ( art. 42 cpv. 2 LTF ; DTF 141 IV 284 consid. 2.3 in fine pag. 287; 133 II 353 consid. 1 pag. 356). In simili circostanze, non essendo possibile capire d'acchito dove possa esservi un danno irreparabile, al ricorso è precluso ogni esame di merito. L'ipotesi di cui all' art. 93 cpv. 1 lett. b LTF non è nemmeno evocato dal ricorrente e, non apparendo manifestamente data, cade conseguentemente. Il ricorrente potrà in definitiva impugnare al Tribunale federale questo giudizio soltanto al momento in cui sarà emessa la decisione finale vale a dire quando l'INSAI effettivamente aumenterà a un grado superiore la tariffa del premio ( art. 93 cpv. 3 LTF ; DTF 143 III 290 consid. 1.3 pag. 294; 135 III 329 consid. 1.2.2 pag. 333).</w:t>
      </w:r>
    </w:p>
    <w:p>
      <w:r>
        <w:rPr>
          <w:b/>
        </w:rPr>
        <w:t>E. 2</w:t>
      </w:r>
    </w:p>
    <w:p>
      <w:r>
        <w:t>Ne segue che il ricorso deve essere dichiarato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