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169/2025 vom 27. März 2025</w:t>
      </w:r>
    </w:p>
    <w:p>
      <w:r>
        <w:t>Bundesgericht, 2025-03-27, DE</w:t>
      </w:r>
    </w:p>
    <w:p>
      <w:r>
        <w:rPr>
          <w:b/>
        </w:rPr>
        <w:t xml:space="preserve">Quelle: </w:t>
      </w:r>
      <w:r>
        <w:t>https://mcp.opencaselaw.ch/entscheid/bger_8C_169_2025</w:t>
      </w:r>
    </w:p>
    <w:p>
      <w:r>
        <w:t>FR: TF 8C 169/2025 du 27 mars 2025</w:t>
      </w:r>
    </w:p>
    <w:p>
      <w:r>
        <w:t>IT: TF 8C 169/2025 del 27 marzo 2025</w:t>
      </w:r>
    </w:p>
    <w:p>
      <w:pPr>
        <w:pStyle w:val="Heading2"/>
      </w:pPr>
      <w:r>
        <w:t>Regeste</w:t>
      </w:r>
    </w:p>
    <w:p>
      <w:r>
        <w:t>Unfallversicherung (Prozessvoraussetzung) | Unfallversicherung</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Eine Ausnahme davon besteht allein bei Beschwerden gegen einen Entscheid über die Zusprechung oder Verweigerung von Geldleistungen der Militär- oder Unfallversicherung. Dort kann jede unrichtige oder unvollständige Feststellung des rechtserheblichen Sachverhalts gerügt werden ( Art. 97 Abs. 2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legte im angefochtenen Urteil vom 30. Januar 2025 in Auseinandersetzung mit den Parteivorbringen und in Würdigung der Akten dar, weshalb die Beschwerdegegnerin mit Einspracheentscheid vom 11. April 2024 eine Leistungspflicht für die am 22. Mai 2023 als Rückfall gemeldeten Schulterbeschwerden verneinen durfte. Demnach liege mit der Verfügung vom 7. Februar 2022 bereits ein Entscheid vor, der eine Leistungspflicht für die Schulterbeschwerden mangels Kausalzusammenhangs zum am 19. Oktober 2000 gemeldeten Ereignis rechtskräftig verneine. Darüber hinaus seien weder Gründe angerufen noch erkennbar, die ein Zurückkommen auf diese Verfügung erlauben würde, womit die Beschwerdegegnerin das erneute Leistungsbegehren habe abweisen dürfen.</w:t>
      </w:r>
    </w:p>
    <w:p>
      <w:r>
        <w:rPr>
          <w:b/>
        </w:rPr>
        <w:t>E. 3</w:t>
      </w:r>
    </w:p>
    <w:p>
      <w:r>
        <w:t>Allein die zum Rückzug der dannzumal gegen die Verfügung vom 7. Februar 2022 erhobenen Einsprache führenden Umstände zu beschreiben und seiner damaligen Rechtsvertreterin ein prozessuales Fehlverhalten vorzuwerfen, reicht nicht aus, um den eingangs aufgezeigten minimalen Begründungsanforderungen gemäss Art. 42 Abs. 2 BGG gerecht zu werden, zumal eine allfällige Fehlleistung der Rechtsvertreterin dem Beschwerdeführer selber anzurechnen wäre ( BGE 143 I 284 E. 1.3 mit Hinweisen; Urteil 8C_644/2022 vom 8. Februar 2023 E. 4.3.1 mit weiteren Hinweisen). Genauso wenig zielführend ist es, zu behaupten, mit der telefonischen Anfrage vom 22. Mai 2023 bei der Beschwerdegegnerin (sinngemäss) einen Antrag auf Wiedererwägung gestellt zu haben. Denn allein damit ist noch nichts gewonnen. Dass Gründe vorgelegen haben sollen, welche die Beschwerdegegnerin verpflichtet hätten, auf die rechtskräftige Verfügung zurückzukommen, ist damit nicht dargetan (Näheres zur prozessualen Revision im Sinne von Art. 53 Abs. 1 ATSG : BGE 143 V 105 E. 2.1; sodann zum fehlenden Anspruch auf Wiedererwägung gemäss Art. 53 Abs. 2 ATSG : BGE 133 V 50 E. 4.2.1).</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kann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