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167/2022 vom 18. August 2022</w:t>
      </w:r>
    </w:p>
    <w:p>
      <w:r>
        <w:t>Bundesgericht, 2022-08-18, DE</w:t>
      </w:r>
    </w:p>
    <w:p>
      <w:r>
        <w:rPr>
          <w:b/>
        </w:rPr>
        <w:t xml:space="preserve">Quelle: </w:t>
      </w:r>
      <w:r>
        <w:t>https://mcp.opencaselaw.ch/entscheid/bger_8C_167_2022</w:t>
      </w:r>
    </w:p>
    <w:p>
      <w:r>
        <w:t>FR: TF 8C 167/2022 du 18 août 2022</w:t>
      </w:r>
    </w:p>
    <w:p>
      <w:r>
        <w:t>IT: TF 8C 167/2022 del 18 agosto 2022</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der Beschwerdegegnerin eine Invalidenrente der Unfallversicherung basierend auf einem Invaliditätsgrad von 17.4 % zusprach.</w:t>
      </w:r>
    </w:p>
    <w:p>
      <w:r>
        <w:rPr>
          <w:b/>
        </w:rPr>
        <w:t>E. 3.1</w:t>
      </w:r>
    </w:p>
    <w:p>
      <w:r>
        <w:t>Das kantonale Gericht hat die massgebenden Bestimmungen und Grundsätze über das zeitlich massgebende Recht ( BGE 144 V 224 E. 6.1.1 mit Hinweis; zur 1. UVG-Revision vgl. Abs. 1 der Übergangsbestimmungen zur Änderung des UVG vom 25. September 2015, AS 2016 4375, 4387) richtig dargelegt. Gleiches gilt hinsichtlich der Leistungspflicht des Unfallversicherers bei Berufskrankheiten im Sinne von Art. 9 UVG ( Art. 6 Abs. 1 UVG ) und des im Verwaltungsverfahren und im kantonalen Sozialversicherungsprozess geltenden Untersuchungsgrundsatzes ( Art. 43 Abs. 1 und Art. 61 lit. c ATSG ). Zutreffend sind sodann die Ausführungen über den Beweiswert von Arztberichten im Allgemeinen ( BGE 134 V 231 E. 5.1; 125 V 351 E. 3a) und von im Verfahren nach Art. 44 ATSG eingeholten Administrativgutachten im Besonderen ( BGE 135 V 465 E. 4.4).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3.2</w:t>
      </w:r>
    </w:p>
    <w:p>
      <w:r>
        <w:t>Zu wiederholen ist, dass bei der Ermittlung des Invalideneinkommens auf der Grundlage von statistischen Lohndaten wie namentlich der vom Bundesamt für Statistik herausgegebenen Lohnstrukturerhebung (LSE) der so erhobene Ausgangswert gemäss der Rechtsprechung allenfalls zu kürzen ist.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4</w:t>
      </w:r>
    </w:p>
    <w:p>
      <w:r>
        <w:t>Die Vorinstanz stellte wie die Suva auf das als beweiskräftig erachtete dermatologische Gutachten der asim vom 1. März 2018 inklusive deren ergänzende Stellungnahme vom 12. November 2018 ab. Demnach steht fest und ist unbestritten, dass bei der Beschwerdegegnerin u.a. eine Sensibilisierung auf Kolophonium, Paraben-Mix, tertiär-Butylhydrochinon, Octylgallat, Cocamidopropylbetain und Reinigungsmittel (Sani Clonet W4f und Jontec 300) besteht. Gestützt auf die medizinischen Unterlagen erwog das kantonale Gericht, nur die Sensibilisierung in Bezug auf die Reinigungsmittel lasse sich mit überwiegender Wahrscheinlichkeit als Berufskrankheit anerkennen. In leidensadaptierten Tätigkeiten, d.h. in solchen, in welchen eine konsequente Allergenkarenz berücksichtigt werden könne, schloss es auf eine Arbeitsfähigkeit von 100 %. In erwerblicher Hinsicht ermittelte das kantonale Gericht anhand der Tabellenlöhne der LSE 2018 (Tabelle TA1, Kompetenzniveau 1, Frauen) sodann ein Invalideneinkommen von Fr. 49'212.-. In Abweichung vom Einspracheentscheid der Suva, welche von einem Abzug vom Tabellenlohn abgesehen hatte, nahm es dabei einen Abzug vom Tabellenlohn von 10 % vor. Anhand des unbestritten gebliebenen Valideneinkommens von Fr. 59'558.- berechnete es schliesslich einen Minderverdienst von Fr. 10'346.- und einen Invaliditätsgrad von 17.4 %. Im Anschluss an die Übergangsentschädigung, welche der Beschwerdegegnerin bis zum 31. Januar 2018 ausgerichtet worden sei, also ab dem 1. Februar 2018, habe diese somit Anspruch auf eine entsprechende Invalidenrente.</w:t>
      </w:r>
    </w:p>
    <w:p>
      <w:r>
        <w:rPr>
          <w:b/>
        </w:rPr>
        <w:t>E. 5</w:t>
      </w:r>
    </w:p>
    <w:p>
      <w:r>
        <w:t>Streitig und zu prüfen ist allein die Frage, ob die Vorinstanz zu Recht einen Tabellenlohnabzug von 10 % gewährte.</w:t>
      </w:r>
    </w:p>
    <w:p>
      <w:r>
        <w:rPr>
          <w:b/>
        </w:rPr>
        <w:t>E. 5.1</w:t>
      </w:r>
    </w:p>
    <w:p>
      <w:r>
        <w:t>Diesbezüglich führte die Vorinstanz aus, die Suva habe in ihrem Einspracheentscheid nicht berücksichtigt, dass die Beschwerdegegnerin im Zeitpunkt des Auftretens der Kontaktallergie "bereits rund zehn Jahre" für die ehemalige Arbeitgeberin tätig gewesen sei und dort eine Leitungsfunktion innegehabt habe. Die Beschwerdegegnerin habe keine eigentliche berufliche Ausbildung und könne aufgrund ihrer Kontaktallergie nicht mehr im Reinigungsdienst arbeiten. Zudem müsse sie eine strikte Allergenkarenz einhalten und sich mit mittlerweile über 50 Jahren beruflich komplett neu orientieren, wobei sie aus unfallversicherungsrechtlicher Sicht zwar nicht zeitlich, aber dennoch (qualitativ) eingeschränkt sei. Es bestehe ein gewisses Risiko, dass sie auch in einer neuen Anstellung aufgrund ihrer Allergien - sei dies aufgrund eines Allergenkontakts an der Arbeitsstelle oder im Privaten - wieder ausfalle. Dies stelle für eine Arbeitgeberin ein unberechenbares Risiko dar. Insgesamt sei deshalb davon auszugehen, dass die Beschwerdegegnerin auch in einer adaptierten Tätigkeit höchstens ein unterdurchschnittliches Einkommen erzielen könne, was in Form eines angemessenen leidensbedingten Abzugs vom Invalideneinkommen von 10 % zu berücksichtigen sei.</w:t>
      </w:r>
    </w:p>
    <w:p>
      <w:r>
        <w:rPr>
          <w:b/>
        </w:rPr>
        <w:t>E. 5.2</w:t>
      </w:r>
    </w:p>
    <w:p>
      <w:r>
        <w:t>Die beschwerdeführende Suva wendet ein, zusammenfassend lägen keine Umstände vor, die einen Abzug vom Tabellenlohn rechtfertigen würden. Die vorinstanzliche Schlussfolgerung, es bestehe ein gewisses Risiko, dass die Beschwerdegegnerin aufgrund ihrer Allergien auch in einer neuen Anstellung wieder ausfalle, stehe in Widerspruch zu der klaren Aussage der asim-Gutachter, wonach in zumutbaren Tätigkeiten in zeitlicher und qualitativer Hinsicht keine Minderung der Erwerbsfähigkeit bestehe. Es handle sich somit um eine sehr entfernte und abstrakte Möglichkeit künftiger Absenzen, welche gemäss der Rechtsprechung keinen Abzug vom Tabellenlohn rechtfertige. Auch das Dienstalter, die in der angestammten Tätigkeit trotz fehlender beruflicher Ausbildung innegehabte Leitungsfunktion und die Tatsache, dass sich die Beschwerdegegnerin mit mittlerweile 50 Jahren beruflich neu orientieren müsse, vermöchten keinen leidensbedingten Abzug zu begründen.</w:t>
      </w:r>
    </w:p>
    <w:p>
      <w:r>
        <w:rPr>
          <w:b/>
        </w:rPr>
        <w:t>E. 5.3.1</w:t>
      </w:r>
    </w:p>
    <w:p>
      <w:r>
        <w:t>Diese Einwendungen sind im Ergebnis unbegründet. Nach der Rechtsprechung können nicht vorhersehbare und schwer kalkulierbare Absenzen, wie sie durch Krankheitsschübe verursacht werden, einen Tabellenlohnabzug rechtfertigen. Erforderlich ist hierfür, dass Umstände vorliegen, die das Risiko krankheitsbedingter Arbeitsabsenzen ganz konkret erhöhen (Urteil 9C_42/2022 vom 12. Juli 2022 E. 4.5 und E. 4.5.2; vgl. auch die Kasuistik in E. 4.5.1 des genannten Urteils). Wie von der Suva geltend gemacht, gingen die asim-Gutachter in der ergänzenden Stellungnahme vom 12. November 2018 zwar davon aus, dass durch eine konsequente Allergenkarenz, die Einhaltung der aufgelisteten Schutzmassnahmen sowie regelmässige und konsequente Rückfettung eine konstant gute Hautsituation erwartet werden könne. Weiter hielten sie fest, die Beschwerdegegnerin sei in Tätigkeiten, welche das Erfordernis der konsequenten Allergenkarenz berücksichtigten, grundsätzlich als voll arbeitsfähig zu erachten. Wie die Beschwerdegegnerin in ihrer Vernehmlassung jedoch zu Recht einwendet, geht aus der ergänzenden Stellungnahme weiter hervor, dass die asim-Gutachter - neben der Sensibilisierung auf die Reinigungsmittel - auch aufgrund der Sensibilisierung auf die weiteren Substanzen eine Minderung der Leistungsfähigkeit in zeitlicher oder qualitativer Hinsicht für möglich hielten, wenn es durch Kontakt mit Allergenen zu einem Aufflammen der Beschwerden komme. Mit welcher Häufigkeit bzw. wie konkret mit Letzterem zu rechnen ist, lässt sich dem asim-Gutachten und der ergänzenden Stellungnahme nicht entnehmen. Ausweislich der medizinischen Unterlagen traten bei der Beschwerdegegnerin jedoch auch nach Aufgabe der Reinigungstätigkeit allergische Beschwerden auf: Mit Verlaufsbericht vom 9. März 2016 schilderte die behandelnde Dermatologin Dr. med. C.________, die Beschwerdegegnerin habe sich, nachdem sie im Februar 2016 ein von der Arbeitslosenversicherung initiiertes Verkaufspraktikum in einer D.________-Filiale begonnen habe, am 1. und 4. März 2016 mit ausgeprägten erythematösen schuppigen Hautveränderungen im Gesicht und Halsbereich im Sinne einer exazerbierten Dermatitis vorgestellt. Diese hätte zu einer Arbeitsunfähigkeit von zehn Tagen geführt. Am 30. Oktober 2018 berichtete Dr. med. C.________ sodann, es komme bei Kontakt zu Duftstoffen in öffentlichen Räumen, beim Einkaufen oder im öffentlichen Verkehr, bei Feuchtarbeiten, Kontakt zu Staub und Dampf, teilweise auch im häuslichen Umfeld, immer wieder zu Ekzem-Exazerbationen. Gemäss dem Einspracheentscheid der Suva vom 14. November 2014 kommen die allergenen Substanzen - zum Teil auch "verborgen" - denn auch in "zahlreichen, alltäglich gebrauchten Materialien", Arzneien, Kosmetika und Lebensmitteln vor. Vor diesem Hintergrund erscheint der vorinstanzliche Schluss, dass die Beschwerdegegnerin - sei es aufgrund eines Allergenkontakts an der Arbeitsstelle oder im Privaten - mit einem gewissen Risiko auch in einer neuen (angepassten) Anstellung wieder ausfallen könne, jedenfalls nicht als bundesrechtswidrig. Gleiches gilt für die Berücksichtigung dieses Umstands bei der Frage nach einem Tabellenlohnabzug.</w:t>
      </w:r>
    </w:p>
    <w:p>
      <w:r>
        <w:rPr>
          <w:b/>
        </w:rPr>
        <w:t>E. 5.3.2</w:t>
      </w:r>
    </w:p>
    <w:p>
      <w:r>
        <w:t>Ob die Vorinstanz in ihrer gesamthaften Schätzung des Abzugs (vgl. E. 3.2 hiervor) die weiteren Merkmale zu Unrecht berücksichtigt hat, kann offen gelassen werden. Selbst wenn dies zutreffen sollte, wäre nicht vom vorinstanzlichen Abzug auszugehen und dieser zu vermindern. Vielmehr hätte das Bundesgericht den Abzug aufgrund der zu Recht herangezogenen Kriterien gesamthaft neu zu schätzen (Urteil 9C_14/2022 vom 21. Juli 2022 E. 5.3.1). In den Fällen, in welchen die Rechtsprechung einen Tabellenlohnabzug aufgrund nicht vorhersehbarer und schwer kalkulierbarer Absenzen gewährte, betrug dieser jeweils 10 % (Urteile 9C_42/2022 vom 12. Juli 2022 E. 4.6; 9C_439/2020 vom 18. August 2020 E. 4.5.4; 8C_179/2018 vom 22. Mai 2018 E. 4.2). Dies erscheint im Ergebnis auch hier angemessen, womit sich der vorinstanzlich gewährte Abzug und das entsprechend resultierende Invalideneinkommen von Fr. 49'212.- im Ergebnis als bundesrechtskonform erweisen. Im Vergleich zum unbestrittenen Valideneinkommen von Fr. 59'558.- bleibt es damit bei der vorinstanzlich ermittelten Erwerbseinbusse von Fr. 10'346.- bzw. von rund 17.4 %.</w:t>
      </w:r>
    </w:p>
    <w:p>
      <w:r>
        <w:rPr>
          <w:b/>
        </w:rPr>
        <w:t>E. 5.4</w:t>
      </w:r>
    </w:p>
    <w:p>
      <w:r>
        <w:t>Wie die Suva im Weiteren jedoch zu Recht geltend macht, ist der Invaliditätsgrad nach den anerkannten Regeln der Mathematik jeweils auf ganze Prozentzahlen auf- oder abzurunden. Bei einem Ergebnis bis x.49... % ist somit auf x % abzurunden ( BGE 130 V 121 E. 3.2). Dies gilt auch in der Unfallversicherung, auch wenn das Auf- oder Abrunden auf ganze Zahlen (abgesehen vom Eckwert von 10 % [vgl. Art. 18 Abs. 1 UVG ]) einen rundungsbedingten Verlust oder Gewinn von wenigen Franken auf dem monatlichen Rentenbetrag bedeutet ( BGE 130 V 121 E. 3.3). Indem die Vorinstanz den Invaliditätsgrad nicht auf 17 % abrundete, sondern der Beschwerdegegnerin eine Invalidenrente bei einem Invaliditätsgrad von 17.4 % zusprach, verletzte sie Bundesrecht. Die Beschwerdegegnerin hat demnach ab 1. Februar 2018 Anspruch auf eine Invalidenrente basierend auf einem Invaliditätsgrad von 17 %. In diesem Punkt ist die Beschwerde begründet.</w:t>
      </w:r>
    </w:p>
    <w:p>
      <w:r>
        <w:rPr>
          <w:b/>
        </w:rPr>
        <w:t>E. 5.5</w:t>
      </w:r>
    </w:p>
    <w:p>
      <w:r>
        <w:t>Die Suva obsiegt zu einem geringen Teil. Dies rechtfertigt, die Gerichtskosten zu neunzehn Zwanzigsteln ihr und zu einem Zwanzigstel der Beschwerdegegnerin aufzuerlegen ( Art. 66 Abs. 1 BGG ). Die Beschwerdegegnerin hat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