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8C_166/2015 vom 5. Juni 2015</w:t>
      </w:r>
    </w:p>
    <w:p>
      <w:r>
        <w:t>Bundesgericht, 2015-06-05, DE</w:t>
      </w:r>
    </w:p>
    <w:p>
      <w:r>
        <w:rPr>
          <w:b/>
        </w:rPr>
        <w:t xml:space="preserve">Quelle: </w:t>
      </w:r>
      <w:r>
        <w:t>https://mcp.opencaselaw.ch/entscheid/bger_8C_166_2015</w:t>
      </w:r>
    </w:p>
    <w:p>
      <w:r>
        <w:t>FR: TF 8C_166/2015 du 5 juin 2015</w:t>
      </w:r>
    </w:p>
    <w:p>
      <w:r>
        <w:t>IT: TF 8C_166/2015 del 5 giugno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die Rückforderung unrechtmässig bezogener Invalidenrente ( Art. 25 Abs. 1 und Abs. 2 ATSG ) zutreffend dargelegt. Darauf wird verwiesen.</w:t>
      </w:r>
    </w:p>
    <w:p>
      <w:r>
        <w:rPr>
          <w:b/>
        </w:rPr>
        <w:t>E. 3</w:t>
      </w:r>
    </w:p>
    <w:p>
      <w:r>
        <w:t>Die Beschwerde in öffentlich-rechtlichen Angelegenheiten ist gegen selbstständig eröffnete Vor- und Zwischenentscheide, wozu auch die Rückweisungsentscheide zählen ( BGE 133 V 477 ), nur unter bestimmten Voraussetzungen zulässig ( Art. 93 Abs. 1 BGG ). Ist die Beschwerde in öffentlich-rechtlichen Angelegenheiten nach Art. 93 Abs. 1 und 2 nicht zulässig oder wurde von ihr kein Gebrauch gemacht, so sind die betreffenden Vor- und Zwischenentscheide durch Beschwerde gegen den Endentscheid anfechtbar, soweit sie sich auf dessen Inhalt auswirken ( Art. 93 Abs. 3 BGG ). Dies hat zur Folge, dass das Bundesgericht im Rahmen der Beurteilung des Endentscheids an unangefochten gebliebene vorinstanzliche Rückweisungsentscheide nicht gebunden ist. Insofern kann der Versicherte aus dem Entscheid vom          7. August 2013 bezüglich der Rückforderung nichts zu seinen Gunsten ableiten.</w:t>
      </w:r>
    </w:p>
    <w:p>
      <w:r>
        <w:rPr>
          <w:b/>
        </w:rPr>
        <w:t>E. 4.1</w:t>
      </w:r>
    </w:p>
    <w:p>
      <w:r>
        <w:t>Spricht die IV-Stelle eine Rente zu und richtet Leistungen aus, bevor die betreffende Verfügung rechtskräftig geworden ist, beginnt im Falle eines gerichtlich festgestellten zusätzlichen Abklärungsbedarfs die relative einjährige Verwirkungsfrist von Art. 25 Abs. 2 ATSG für die Geltendmachung des Rückforderungsanspruchs frühestens zu laufen, wenn sie um das definitive Ergebnis der Abklärungen weiss, auf denen der das Renten (streit) verfahren abschliessende Entscheid beruht (SVR 2015 IV Nr. 5 S. 10 E. 4, 9C_195/2014, mit Verweis auf SVR 2014 IV Nr. 15 S. 60 E. 5.2.2.4, 8C_631/2013). Es ist bundesrechtskonform, wenn eine (kantonale) Vorinstanz nicht die Zustellung des kantonalen Rechtsmittelentscheids als Auslöser für den Beginn der einjährigen Verwirkungsfrist von Art. 25 Abs. 2 ATSG genügen lässt, sondern erst den Eintritt der Rechtskraft dieses kantonalen Entscheids (SVR 2015 IV Nr. 4 S. 8 E. 2, 8C_316/2014).</w:t>
      </w:r>
    </w:p>
    <w:p>
      <w:r>
        <w:rPr>
          <w:b/>
        </w:rPr>
        <w:t>E. 4.2</w:t>
      </w:r>
    </w:p>
    <w:p>
      <w:r>
        <w:t>Die Vorinstanz setzte mit Entscheid vom 7. August 2013 erstmals die Ansprüche des Versicherten auf eine Invalidenrente fest, nachdem sie noch mit Entscheid vom 22. Juni 2010 die Rentenverfügungen der IV-Stelle aufgehoben und die Sache zu weiteren Abklärungen und neuer Verfügung an diese zurückgewiesen hatte. Dieser Entscheid vom 7. August 2013 blieb unangefochten. Damit beginnt nach der Rechtsprechung (E. 4.1) die relative einjährige Verwirkungsfrist mit Ablauf der 30-tägigen Beschwerdefrist des am 6. September 2013 bei der IV-Stelle eingegangenen Entscheids. Bei dieser Sach- und Rechtslage ist nicht nur die Rückforderungsverfügung vom 24. März 2014, sondern auch die lite pendente erlassene Verfügung vom         2. Oktober 2014 innert der einjährigen relativen Verwirkungsfrist ergangen. Die Rückforderungsansprüche der IV-Stelle sind somit nicht verwirkt.</w:t>
      </w:r>
    </w:p>
    <w:p>
      <w:r>
        <w:t>Daran ändern auch die Einwände des Versicherten nichts. Zwar ist ihm zuzustimmen, dass BGE 139 V 6 vorliegend nicht einschlägig ist. Jedoch sind entgegen seiner Ansicht der hier strittige Fall der noch nicht rechtskräftig festgesetzten Invalidenrenten und jener im Rahmen einer Revision nach Art. 17 ATSG nicht vergleichbar, weshalb sich auch nicht die geforderte Gleichbehandlung gebietet. Ebenso wenig vermag die - unbestrittenermassen erfüllte - Mitwirkungspflicht des Versicherten zu einem anderen Ergebnis zu führen. Denn angesichts seines instabilen Gesundheitszustandes, welcher immer wieder zu einer Überforderung an der jeweiligen Arbeitsstelle führte, und der damit verbundenen Schwankungen in der Arbeitsfähigkeit waren nicht bereits mit Mitteilung der Arbeitsaufnahme auf den 1. Mai 2010 weitere Rentenzahlungen ausgeschlossen. Wie sich letztlich zeigte, erfolgten auch nach dem Stellenantritt per 1. Mai 2010 aus gesundheitlichen Gründen Arbeitsplatzwechsel und Änderungen in der beruflichen Tätigkeit (vgl. etwa das Schreiben des Versicherten vom 16. Januar 2012). Somit kann der IV-Stelle nicht vorgeworfen werden, sie hätte bereits seit der Arbeitsaufnahme am 1. Mai 2010 um den Rückforderungsanspruch gewusst oder wissen müssen.</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