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166/2012 vom 26. Juli 2012</w:t>
      </w:r>
    </w:p>
    <w:p>
      <w:r>
        <w:t>Bundesgericht, 2012-07-26, DE</w:t>
      </w:r>
    </w:p>
    <w:p>
      <w:r>
        <w:rPr>
          <w:b/>
        </w:rPr>
        <w:t xml:space="preserve">Quelle: </w:t>
      </w:r>
      <w:r>
        <w:t>https://mcp.opencaselaw.ch/entscheid/bger_8C_166_2012</w:t>
      </w:r>
    </w:p>
    <w:p>
      <w:r>
        <w:t>FR: TF 8C 166/2012 du 26 juillet 2012</w:t>
      </w:r>
    </w:p>
    <w:p>
      <w:r>
        <w:t>IT: TF 8C 166/2012 del 26 luglio 2012</w:t>
      </w:r>
    </w:p>
    <w:p>
      <w:pPr>
        <w:pStyle w:val="Heading2"/>
      </w:pPr>
      <w:r>
        <w:t>Regeste</w:t>
      </w:r>
    </w:p>
    <w:p>
      <w:r>
        <w:t>Unfallversicherung (Berufskrankheit)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Rechtsgrundlagen für die Leistungspflicht des Unfallversicherers im Zusammenhang mit Berufskrankheiten (Art. 6 Abs. 1 in Verbindung mit Art. 9 Abs. 1 UVG und Art. 14 UVV sowie Anhang 1 zur UVV), namentlich zur arbeitsbedingten Erkrankung im Sinne einer erheblichen Schädigung des Gehörs durch Arbeiten im Lärm ( Art. 14 UVV in Verbindung mit Ziff. 2 lit. a des Anhangs 1 zur UVV; Urteile U 362/05 vom 6. März 2006 E. 2.1 und U 245/05 vom 1. Dezember 2005 E. 3.2, in: RKUV 2006 Nr. U 578 S. 170) zutreffend dargelegt. Darauf wird verwiesen.</w:t>
      </w:r>
    </w:p>
    <w:p>
      <w:r>
        <w:rPr>
          <w:b/>
        </w:rPr>
        <w:t>E. 3</w:t>
      </w:r>
    </w:p>
    <w:p>
      <w:r>
        <w:t>Streitig und zu prüfen ist, ob der diagnostizierte beidseitige Tinnitus mit leichter Hochtonsenke ausschliesslich oder vorwiegend auf die Tätigkeit bei der X.________ AG im Sinne einer Berufskrankheit zurückzuführen ist.</w:t>
      </w:r>
    </w:p>
    <w:p>
      <w:r>
        <w:rPr>
          <w:b/>
        </w:rPr>
        <w:t>E. 3.1</w:t>
      </w:r>
    </w:p>
    <w:p>
      <w:r>
        <w:t>Der Beschwerdeführer rügt in formeller Hinsicht letztinstanzlich erneut, sein Anspruch auf rechtliches Gehör sei verletzt worden, da weder er noch seine Rechtsvertretung an der am Arbeitsplatz durchgeführten Lärmmessung vom 22. März 2011 habe teilnehmen können. Er sei lediglich nach der Messung an seinem neuen Arbeitsplatz überrascht und dazu geholt worden und habe sich nur kurz in Anwesenheit seiner Vorgesetzten zur Messung äussern können. Der Arbeitshygieniker der SUVA (S.________) habe nicht bloss technische Messungen durchgeführt, sondern er habe sich auch ein Bild von der ehemaligen Arbeitssituation des Versicherten gemacht, um gestützt hierauf über die Art der Messung, sowie über die umstrittene Expositionsdauer (von 20 % der gesamten Arbeitsdauer) im Nahbereich der Abblasdüsen entschieden.</w:t>
      </w:r>
    </w:p>
    <w:p>
      <w:r>
        <w:rPr>
          <w:b/>
        </w:rPr>
        <w:t>E. 3.2</w:t>
      </w:r>
    </w:p>
    <w:p>
      <w:r>
        <w:t>Die Vorinstanz gelangte zum Schluss, dass die Messung der Lärmbelastung am früheren Arbeitsplatz des Beschwerdeführers am 22. März 2011 aus verfahrensrechtlicher Sicht nicht zu beanstanden sei. Der Umstand, dass anlässlich dieser Messung der Sicherheitsbeauftragte, der Produktions- sowie der Teamleiter der Arbeitgeberin anwesend gewesen seien, spreche grundsätzlich für eine regelrechte Durchführung derselben; die Abwesenheit des Beschwerdeführers könne die Lärmmessung nicht von vornherein in Frage stellen. Weiter führte das Gericht aus, die Schallmessung vor Ort umfasse zwar Komponenten des Augenscheins, sei jedoch durch einen sachverständigen Arbeitshygieniker durchgeführt worden, was einem Anspruch auf Teilnahme an der Messung entgegenstehe. Es sei dem Beschwerdeführer zumindest die Gelegenheit eingeräumt worden, sich zum Beweisergebnis zu äussern. Es habe nach der Messung ein Gespräch mit S.________ stattgefunden und der Beschwerdeführer bringe nicht vor, dass er zu wenig Zeit gehabt hätte, um sich zu den Messbedingungen zu äussern, weshalb in Bezug auf die durchgeführte Lärmmessung keine Verletzung des rechtlichen Gehörs vorliege.</w:t>
      </w:r>
    </w:p>
    <w:p>
      <w:r>
        <w:rPr>
          <w:b/>
        </w:rPr>
        <w:t>E. 3.3</w:t>
      </w:r>
    </w:p>
    <w:p>
      <w:r>
        <w:t>In tatbeständlicher Hinsicht besteht Einigkeit zwischen den Parteien, dass der Versicherte an der eigentlichen Messung nicht anwesend war. Wie S.________ in seiner Stellungnahme vom 6. Juli 2011 einräumt, wurde der Beschwerdeführer lediglich später hinzugeholt, wobei er ihm die Messung mit und ohne Schallschutzhaube vorgeführt und erklärt habe, wie die Lärmbeurteilung vorgenommen worden sei; man habe sich auf die maximale Lärmexpositionsdauer vor der Abblasdüse auf 20 % der gesamten Arbeitszeit geeinigt, da das Abblasen nur bei der Produktion der Ader MA14 vorkomme. An der vom Versicherten als Maschinenführer bedienten Extruderlinie K032 würden hingegen auch andere Arbeitsvorgänge ausgeführt und dies sei kein ständiger Arbeitsplatz.</w:t>
      </w:r>
    </w:p>
    <w:p>
      <w:r>
        <w:rPr>
          <w:b/>
        </w:rPr>
        <w:t>E. 3.4.1</w:t>
      </w:r>
    </w:p>
    <w:p>
      <w:r>
        <w:t>Vorliegend geht es um das Mitwirkungsrecht des Versicherten bei der Sachverhaltsabklärung im Zusammenhang mit der Durchführung eines Augenscheins, wobei mit dieser Beweisabnahme unstreitig ein rechtserheblicher Sachverhalt abzuklären war. Die von der SUVA vernehmlassungsweise angerufene Rechtsprechung ( BGE 132 V 443 und 119 Ia 260) bezieht sich dementgegen auf den Anspruch auf Verbeiständung bei einer medizinischen Begutachtung und ist daher nicht einschlägig.</w:t>
      </w:r>
    </w:p>
    <w:p>
      <w:r>
        <w:rPr>
          <w:b/>
        </w:rPr>
        <w:t>E. 3.4.2</w:t>
      </w:r>
    </w:p>
    <w:p>
      <w:r>
        <w:t>Wie das Bundesgericht in BGE 121 V 150 E. 4a und 4b S. 152 f. ausgeführt hat, darf ein Augenschein nur dann unter Ausschluss einer Partei erfolgen, wenn schützenswerte Interessen Dritter oder des Staates oder eine besondere Dringlichkeit dies gebieten, oder wenn der Augenschein seinen Zweck überhaupt nur dann erfüllen kann, wenn er unangemeldet erfolgt. Der Einsatz technischer Messgeräte ändert - entgegen den Darlegungen der Vorinstanz - an diesem Teilnahmerecht nichts. Gründe, die den Ausschluss des Beschwerdeführers rechtfertigen würden, liegen nicht vor und werden auch nicht geltend gemacht, wobei nicht von einem stillschweigenden Einverständnis des Beschwerdeführers mit seinem Ausschluss von der eigentlichen Beweisabnahme auszugehen ist. Der Versicherte konnte nicht unmittelbar vor Ort an der eigentlichen Beweiserhebung in Anwesenheit des Arbeitshygienikers und der Vorgesetzten teilnehmen, womit ihm die Mitwirkungsrechte an der Ermittlung feststellungsbedürftiger Tatsachen verwehrt wurden, was seinen Anspruch auf rechtliches Gehör verletzt. Die nachträgliche Äusserungsmöglichkeit hiezu, auch wenn sie direkt im Anschluss an die Beweisabnahme erfolgte und dem Versicherten erklärt wurde, wie die Messung vorgenommen worden ist, kann auch in diesem Fall die unmittelbare Teilnahme am Augenschein nicht ersetzen, weshalb eine ausnahmsweise Heilung des Verfahrensmangels entfällt ( BGE 121 V 150 E. 6 S. 155 f.). Ungeachtet der materiellrechtlichen Frage, ob der Beschwerdeführer durch Arbeiten an seinem früheren Arbeitsplatz eine erhebliche Schädigung des Gehörs erlitten hat, für welche die SUVA leistungspflichtig ist, führt die Verletzung des rechtlichen Gehörs zur Aufhebung des vorinstanzlichen Entscheids. Die Sache ist daher an die SUVA zurückzuweisen, damit sie unter Gewährung der Mitwirkungsrechte des Beschwerdeführers die Lärmmessung nochmals durchführt, wobei diese angesichts der bereits mehrfach wiederholten Messung vor Ort durch das Team Akustik der SUVA durch einen externen Sachverständigen vorzunehmen ist.</w:t>
      </w:r>
    </w:p>
    <w:p>
      <w:r>
        <w:rPr>
          <w:b/>
        </w:rPr>
        <w:t>E. 4</w:t>
      </w:r>
    </w:p>
    <w:p>
      <w:r>
        <w:t>Die Gerichtskosten werden der Beschwerdegegnerin als unterliegender Partei auferlegt ( Art. 66 Abs. 1 BGG ). Diese hat dem obsiegenden Beschwerdeführer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