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165/2023 vom 17. März 2023</w:t>
      </w:r>
    </w:p>
    <w:p>
      <w:r>
        <w:t>Bundesgericht, 2023-03-17, DE</w:t>
      </w:r>
    </w:p>
    <w:p>
      <w:r>
        <w:rPr>
          <w:b/>
        </w:rPr>
        <w:t xml:space="preserve">Quelle: </w:t>
      </w:r>
      <w:r>
        <w:t>https://mcp.opencaselaw.ch/entscheid/bger_8C_165_2023</w:t>
      </w:r>
    </w:p>
    <w:p>
      <w:r>
        <w:t>FR: TF 8C 165/2023 du 17 mars 2023</w:t>
      </w:r>
    </w:p>
    <w:p>
      <w:r>
        <w:t>IT: TF 8C 165/2023 del 17 marzo 2023</w:t>
      </w:r>
    </w:p>
    <w:p>
      <w:pPr>
        <w:pStyle w:val="Heading2"/>
      </w:pPr>
      <w:r>
        <w:t>Regeste</w:t>
      </w:r>
    </w:p>
    <w:p>
      <w:r>
        <w:t>Sozialhilfe (Prozessvoraussetzung) | Gesundheitswesen &amp; soziale Sicherheit</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wie vorliegend, gegen ein in Anwendung kantonalen Rechts ergangenes Urteil richten, ist demnach anhand der massgeblichen Erwägungen des kantonalen Urteils klar und detailliert darzulegen, welche verfassungsmässigen Rechte und inwiefern sie durch dieses Urteil verletzt sein sollen.</w:t>
      </w:r>
    </w:p>
    <w:p>
      <w:r>
        <w:rPr>
          <w:b/>
        </w:rPr>
        <w:t>E. 2</w:t>
      </w:r>
    </w:p>
    <w:p>
      <w:r>
        <w:t>Der Beschwerdeführer bringt nichts Derartiges vor. Allein pauschal die Aufhebung des vorinstanzlichen Urteils zu fordern, weil es einzelrichterlich gefällt worden sei und von ihm vorgeschlagene Gesetzesänderungen nicht aufgreife, reicht klarerweise nicht aus. Genauso wenig genügt es, über Seiten Textstellen zu zitieren, ohne diese zugleich in einen erkennbaren Zusammenhang mit dem von der Vorinstanz Entschiedenen (Bestätigung der Einstellung der Sozialhilfeunterstützung per 31. Dezember 2022) zu setzen, geschweige denn dabei aufzuzeigen, inwieweit das angefochtene Urteil bundesrechts- bzw. insbesondere verfassungswidrig sein soll.</w:t>
      </w:r>
    </w:p>
    <w:p>
      <w:r>
        <w:rPr>
          <w:b/>
        </w:rPr>
        <w:t>E. 3</w:t>
      </w:r>
    </w:p>
    <w:p>
      <w:r>
        <w:t>Da dieser Begründungsmangel offensichtlich ist, führt dies zu einem Nichteintreten auf das Rechtsmittel im vereinfachten Verfahren nach Art. 108 Abs. 1 lit. b BGG .</w:t>
      </w:r>
    </w:p>
    <w:p>
      <w:r>
        <w:rPr>
          <w:b/>
        </w:rPr>
        <w:t>E. 4</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