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164/2012 vom 7. Mai 2012</w:t>
      </w:r>
    </w:p>
    <w:p>
      <w:r>
        <w:t>Bundesgericht, 2012-05-07, DE</w:t>
      </w:r>
    </w:p>
    <w:p>
      <w:r>
        <w:rPr>
          <w:b/>
        </w:rPr>
        <w:t xml:space="preserve">Quelle: </w:t>
      </w:r>
      <w:r>
        <w:t>https://mcp.opencaselaw.ch/entscheid/bger_8C_164_2012</w:t>
      </w:r>
    </w:p>
    <w:p>
      <w:r>
        <w:t>FR: TF 8C 164/2012 du 7 mai 2012</w:t>
      </w:r>
    </w:p>
    <w:p>
      <w:r>
        <w:t>IT: TF 8C 164/2012 del 7 maggio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 Art. 82 ff. BGG ). Dabei legt das Bundesgericht seinem Urteil den Sachverhalt zugrunde, den die Vorinstanz festgestellt hat ( Art. 105 Abs. 1 BGG ). Es kann eine - für den Ausgang des Verfahrens entscheidende (vgl. Art. 97 Abs. 1 BGG ) - Sachverhaltsfeststellung nur berichtigen oder ergänzen, wenn sie offensichtlich unrichtig ist oder wenn sie auf einer Rechtsverletzung im Sinne von Art. 95 BGG beruht (Art. 97 Abs. 1 in Verbindung mit Art. 105 Abs. 2 BGG ).</w:t>
      </w:r>
    </w:p>
    <w:p>
      <w:r>
        <w:rPr>
          <w:b/>
        </w:rPr>
        <w:t>E. 2</w:t>
      </w:r>
    </w:p>
    <w:p>
      <w:r>
        <w:t>Streitig und zu prüfen ist, ob der Beschwerdeführer Anspruch auf Ersatz der Parteikosten für das gegenstandslos gewordene vorinstanzliche Beschwerdeverfahren hat.</w:t>
      </w:r>
    </w:p>
    <w:p>
      <w:r>
        <w:rPr>
          <w:b/>
        </w:rPr>
        <w:t>E. 2.1</w:t>
      </w:r>
    </w:p>
    <w:p>
      <w:r>
        <w:t>Bei Gegenstandslosigkeit des kantonalen Beschwerdeverfahrens besteht ein bundesrechtlich begründeter ( Art. 61 lit. g ATSG ) Entschädigungsanspruch der Beschwerde führenden Partei, wenn es die Prozessaussichten rechtfertigen, wie sie sich vor Eintritt der Gegenstandslosigkeit darboten (SVR 2004 ALV Nr. 8 S. 22 E. 3.1, C 56/03; Urteil 8C_652/2009 vom 7. Juni 2010).</w:t>
      </w:r>
    </w:p>
    <w:p>
      <w:r>
        <w:rPr>
          <w:b/>
        </w:rPr>
        <w:t>E. 2.2</w:t>
      </w:r>
    </w:p>
    <w:p>
      <w:r>
        <w:t>Entscheidend ist demnach in erster Linie der mutmassliche Ausgang des Prozesses ( BGE 125 V 373 E. 2a S. 374). Dabei geht es in Anlehnung an Art. 71 BGG in Verbindung mit Art. 72 BZP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2004 ALV Nr. 8 S. 21 E. 3.1, C 56/03; 1998 UV Nr. 11 S. 29 E. 6a mit Hinweisen, U 197/96; Urteil 8C_652/2009 vom 7. Juni 2010).</w:t>
      </w:r>
    </w:p>
    <w:p>
      <w:r>
        <w:rPr>
          <w:b/>
        </w:rPr>
        <w:t>E. 2.3</w:t>
      </w:r>
    </w:p>
    <w:p>
      <w:r>
        <w:t>Bei der Beurteilung des mutmasslichen Ausganges des kantonalen Beschwerdeverfahrens ist davon auszugehen, dass die IV-Stelle ihre Verfügung vom 8. November 2011 lite pendente in Wiedererwägung zog und eine neue Verfügung (vom 11. Januar 2012) erliess, mit welcher sie dem beschwerdeweise geltend gemachten Begehren des Versicherten vollumfänglich entsprach. Damit liegt im Erlass der Verfügung vom 11. Januar 2012 der Grund für den Eintritt der Gegenstandslosigkeit. Der Beschwerdeführer ist damit im vorinstanzlichen Verfahren als vollständig obsiegend zu betrachten. Er hat damit Anspruch auf eine Parteientschädigung für das kantonale Beschwerdeverfahren zu Lasten der IV-Stelle. Deren Höhe kann gemäss aufgelegter Kostennote vom Bundesgericht festgesetzt werden ( Art. 68 Abs. 2 und Abs. 5 BGG ).</w:t>
      </w:r>
    </w:p>
    <w:p>
      <w:r>
        <w:rPr>
          <w:b/>
        </w:rPr>
        <w:t>E. 3</w:t>
      </w:r>
    </w:p>
    <w:p>
      <w:r>
        <w:t>Dem Verfahrensausgang entsprechend gehen die Gerichtskosten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