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8C_163/2015 vom 16. Juni 2015</w:t>
      </w:r>
    </w:p>
    <w:p>
      <w:r>
        <w:t>Bundesgericht, 2015-06-16, DE</w:t>
      </w:r>
    </w:p>
    <w:p>
      <w:r>
        <w:rPr>
          <w:b/>
        </w:rPr>
        <w:t xml:space="preserve">Quelle: </w:t>
      </w:r>
      <w:r>
        <w:t>https://mcp.opencaselaw.ch/entscheid/bger_8C_163_2015</w:t>
      </w:r>
    </w:p>
    <w:p>
      <w:r>
        <w:t>FR: TF 8C_163/2015 du 16 juin 2015</w:t>
      </w:r>
    </w:p>
    <w:p>
      <w:r>
        <w:t>IT: TF 8C_163/2015 del 16 giugno 2015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1.3</w:t>
      </w:r>
    </w:p>
    <w:p>
      <w:r>
        <w:t>Bei den gerichtlichen Feststellungen zum Gesundheitszustand und zur Arbeitsfähigkeit bzw. deren Veränderung in einem bestimmten Zeitraum handelt es sich um Tatfragen ( BGE 132 V 393 E. 3.2 S. 397 ff.). Gleiches gilt für die konkrete Beweiswürdigung (nicht publ. E. 4.1 des Urteils BGE 135 V 254 , in SVR 2009 IV Nr. 53 S. 164 [9C_204/2009]). Dagegen sind die Beachtung des Untersuchungsgrundsatzes und der Beweiswürdigungsregeln nach Art. 61 lit. c ATSG , die unvollständige Feststellung rechtserheblicher Tatsachen sowie die Missachtung des Untersuchungsgrundsatzes ( Art. 43 Abs. 1, Art. 61 lit. c ATSG ) Rechtsfragen.</w:t>
      </w:r>
    </w:p>
    <w:p>
      <w:r>
        <w:rPr>
          <w:b/>
        </w:rPr>
        <w:t>E. 1.4</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kantonalen Versicherungsgericht ein erheblicher Ermessensspielraum zusteht. Das Bundesgericht greift nur ein, wenn es diesen missbraucht, insbesondere offensichtlich unhaltbare Schlüsse gezogen, erhebliche Beweise übersehen oder solche willkürlich ausser Acht gelassen hat ( BGE 132 III 209 E. 2.1 S. 211; zum Begriff der Willkür BGE 137 I 1 E. 2.4 S. 5; Urteil 9C_1019/2012 vom 23. August 2013 E. 1.2.3). Inwiefern das kantonale Gericht sein Ermessen missbraucht haben soll, ist in der Beschwerde klar und detailliert aufzuzeigen ( BGE 130 I 258 E. 1.3 S. 261; SVR 2013 BVG Nr. 40 S. 174 E. 1.2 [9C_592/2012]; Urteil 8C_76/2014 vom 30. April 2014 E. 1.2).</w:t>
      </w:r>
    </w:p>
    <w:p>
      <w:r>
        <w:rPr>
          <w:b/>
        </w:rPr>
        <w:t>E. 2.1</w:t>
      </w:r>
    </w:p>
    <w:p>
      <w:r>
        <w:t>Das kantonale Gericht hat erkannt, dass zur Beurteilung des Gesundheitszustands und der Arbeitsfähigkeit auf das in allen Teilen beweiskräftige Gutachten der Dr. med. B.________ vom 18. September 2013 abzustellen sei. Die Sachverständige habe insbesondere nachvollziehbar dargelegt, dass wegen des postoperativ aufgetretenen Lymphödems im Bereich des linken Beines eine bleibende Einschränkung der Arbeitsfähigkeit zwischen 30 und 50 % bestehe. Entgegen der Auffassung der Versicherten habe Dr. med. B.________ dabei den benötigten erhöhten Pausenbedarf vollumfänglich berücksichtigt, was sich zwanglos aus ihren Antworten auf die gestellten Fragen ergebe. Daher sei von den beantragten weiteren Abklärungen abzusehen.</w:t>
      </w:r>
    </w:p>
    <w:p>
      <w:r>
        <w:rPr>
          <w:b/>
        </w:rPr>
        <w:t>E. 2.2</w:t>
      </w:r>
    </w:p>
    <w:p>
      <w:r>
        <w:t>Die Beschwerdeführerin beruft sich auf die im bundesgerichtlichen Verfahren eingereichte Telefonnotiz des Hausarztes vom 2. März 2015, wonach Dr. med. B.________ angegeben habe, der vermehrte Pausenbedarf schränke die von ihr eingeschätzte Arbeitsfähigkeit zusätzlich ein. Gemäss Art. 99 Abs. 1 BGG dürfen neue Tatsachen und Beweismittel nur so weit vorgebracht werden, als erst der Entscheid der Vorinstanz dazu Anlass gibt. Diese Voraussetzung liegt hier nicht vor, zumal nicht ersichtlich ist, weshalb die Beschwerdeführerin die beantragten Auskünfte nicht schon früher hätte einholen und ins kantonale Verfahren einbringen können. Im Übrigen legt sie nicht dar, inwiefern die Vorinstanz den medizinischen Sachverhalt offensichtlich unrichtig oder unvollständig und damit willkürlich festgestellt hat (vgl. E. 1 hievor).</w:t>
      </w:r>
    </w:p>
    <w:p>
      <w:r>
        <w:rPr>
          <w:b/>
        </w:rPr>
        <w:t>E. 3.1.1</w:t>
      </w:r>
    </w:p>
    <w:p>
      <w:r>
        <w:t>Die Vorinstanz hat weiter erwogen, dass das hypothetische Invalideneinkommen, das der Bestimmung des Invaliditätsgrades gemäss Art. 16 ATSG zugrunde zu legen ist, anhand der Schweizerischen Lohnstrukturerhebung des Bundesamtes für Statistik des Jahres 2010 (LSE 2010), Tabelle TA1, Randziffer 47 (Detailhandel), Anforderungsniveau 3 (Tätigkeiten, welche Berufs- und Fachkenntnisse voraussetzen), Frauen, festzulegen sei. Da die Arbeitsfähigkeit für solche Berufe von Dr. med. B.________ in der Bandbreite von 50 bis 70 % eingeschätzt worden sei, müsse rechtsprechungsgemäss (vgl. die in BGE 137 V 71 nicht publizierte E. 4.2 mit Hinweis auf das Urteil I 822/04 vom 21. April 2005 E. 4.4) vom Mittelwert (60 %) ausgegangen werden. Mit Blick auf den zu unterstellenden ausgeglichenen Arbeitsmarkt sei anzunehmen, dass der Versicherten im Detailhandel genügend Einsatzmöglichkeiten offen ständen, bei welchen sie in Kombination von Verrichtungen im Verkauf und in der Administration abwechselnd sitzend, stehend und gehend tätig sein könne. Daher habe die IV-Stelle zu Recht eine Reduktion des Tabellenlohnes gemäss BGE 126 V 75 abgelehnt.</w:t>
      </w:r>
    </w:p>
    <w:p>
      <w:r>
        <w:rPr>
          <w:b/>
        </w:rPr>
        <w:t>E. 3.1.2</w:t>
      </w:r>
    </w:p>
    <w:p>
      <w:r>
        <w:t>Die Beschwerdeführerin bringt im Wesentlichen vor, gerade bei Tätigkeiten im Detailhandel im Anforderungsniveau 3 wirke sich der vermehrte Pausenbedarf lohnmindernd aus, zumal oft nur eine Verkäuferin für eine Geschäftsstelle verantwortlich sei.</w:t>
      </w:r>
    </w:p>
    <w:p>
      <w:r>
        <w:rPr>
          <w:b/>
        </w:rPr>
        <w:t>E. 3.2.1</w:t>
      </w:r>
    </w:p>
    <w:p>
      <w:r>
        <w:t>Ob ein (behinderungsbedingt oder anderweitig begründeter) Abzug vom Tabellenlohn vorzunehmen ist, stellt eine vom Bundesgericht frei überprüfbare Rechtsfrage dar ( BGE 137 V 71 E. 5.1 S. 72; in BGE 135 V 297 nicht publizierte E. 4 des Urteils 8C_652/2008 vom 8. Mai 2009).</w:t>
      </w:r>
    </w:p>
    <w:p>
      <w:r>
        <w:rPr>
          <w:b/>
        </w:rPr>
        <w:t>E. 3.2.2</w:t>
      </w:r>
    </w:p>
    <w:p>
      <w:r>
        <w:t>Bestehen über das ärztlich beschriebe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8C_260/2011 vom 25. Juli 2011 E. 5.5 mit Hinweisen). Allerdings ist zu beachten, dass allfällige bereits in der Beurteilung der medizinischen Arbeitsfähigkeit enthaltene gesundheitliche Einschränkungen nicht zusätzlich in die Bemessung des leidensbedingten Abzuges einfliessen können, weil damit ein- und derselbe Gesichtspunkt bei der Bestimmung des Invalideneinkommens doppelt angerechnet würde. Die Vorinstanz hat zutreffend erkannt, dass Dr. med. B.________ die Arbeitsfähigkeit in der angestammten oder einer anderen adaptierten Erwerbstätigkeit in der Bandbreite von 50 % - 70 % angab, wobei aus der (mehrfachen) Unterstreichung des höheren Niveaus (70 %) zu schliessen war, dass die Versicherte eher in diesem Umfang ohne Leistungseinschränkung arbeiten könnte. Unter diesen Umständen hat das kantonale Gericht zu Recht erkannt, dass kein triftiger Grund bestand, in das Ermessen der Verwaltung einzugreifen, zumal auch sonst kein abzugsbegründendes Merkmal gemäss BGE 126 V 75 vorlag, welches die Vorinstanz, auf deren Entscheid im Übrigen verwiesen wird, nicht berücksichtigt hätte.</w:t>
      </w:r>
    </w:p>
    <w:p>
      <w:r>
        <w:rPr>
          <w:b/>
        </w:rPr>
        <w:t>E. 3.2.3</w:t>
      </w:r>
    </w:p>
    <w:p>
      <w:r>
        <w:t>Die Bestimmung des Invaliditätsgrades wird ansonsten zu Recht nicht in Frage gestellt, weshalb der vorinstanzliche Entscheid zu bestätigen ist.</w:t>
      </w:r>
    </w:p>
    <w:p>
      <w:r>
        <w:rPr>
          <w:b/>
        </w:rPr>
        <w:t>E. 4</w:t>
      </w:r>
    </w:p>
    <w:p>
      <w:r>
        <w:t>Die Beschwerdeführerin hat die Kosten des bundesgerichtlichen Verfahrens als unterliegende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