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8C_162/2009 vom 28. August 2009</w:t>
      </w:r>
    </w:p>
    <w:p>
      <w:r>
        <w:t>Bundesgericht, 2009-08-28, DE</w:t>
      </w:r>
    </w:p>
    <w:p>
      <w:r>
        <w:rPr>
          <w:b/>
        </w:rPr>
        <w:t xml:space="preserve">Quelle: </w:t>
      </w:r>
      <w:r>
        <w:t>https://mcp.opencaselaw.ch/entscheid/bger_8C_162_2009</w:t>
      </w:r>
    </w:p>
    <w:p>
      <w:r>
        <w:t>FR: TF 8C_162/2009 du 28 août 2009</w:t>
      </w:r>
    </w:p>
    <w:p>
      <w:r>
        <w:t>IT: TF 8C_162/2009 del 28 agosto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kantonalen Entscheid werden die nach der Rechtsprechung für den Anspruch auf Leistungen der obligatorischen Unfallversicherung ( Art. 6 Abs. 1 UVG [SR 832.20]) geltenden Voraussetzungen des natürlichen und adäquaten Kausalzusammenhangs zwischen dem Unfallereignis und dem eingetretenen Schaden ( BGE 129 V 177 E. 3.1 und 3.2 S. 181), insbesondere bei Schleudertraumen der Halswirbelsäule und bei schleudertraumaähnlichen Verletzungen ( BGE 134 V 109 ), zutreffend dargelegt. Darauf wird verwiesen.</w:t>
      </w:r>
    </w:p>
    <w:p>
      <w:r>
        <w:rPr>
          <w:b/>
        </w:rPr>
        <w:t>E. 3.1</w:t>
      </w:r>
    </w:p>
    <w:p>
      <w:r>
        <w:t>Mit Verfügung vom 29. Juni 2006 sprach die Basler der Versicherten eine Integritätsentschädigung aufgrund einer Integritätseinbusse von 20 % zu, verneinte gleichzeitig aber einen weitergehenden Leistungsanspruch ab dem 1. Juli 2006. Gegen diese Verfügung erhob die Versicherte am 3. Juli 2006 Einsprache, wobei sie die Höhe der Integritätsentschädigung ausdrücklich nicht anfocht. Demnach ist, wie die Beschwerdeführerin zutreffend ausführt, die Verfügung vom 29. Juni 2006, soweit die Integritätsentschädigung betreffend, unangefochten in Rechtskraft erwachsen (vgl. Urteil 8C_623/2007 vom 22. August 2008 E. 3.2). Streitig ist somit der Anspruch auf Geldleistungen (Taggeld bzw. Rente) ab 1. Juli 2006 sowie jener auf Heilbehandlungsleistungen ab 23. November 2007.</w:t>
      </w:r>
    </w:p>
    <w:p>
      <w:r>
        <w:rPr>
          <w:b/>
        </w:rPr>
        <w:t>E. 3.2</w:t>
      </w:r>
    </w:p>
    <w:p>
      <w:r>
        <w:t>Die Versicherte macht - zwar zutreffenderweise - geltend, die Ausrichtung einer Integritätsentschädigung setze einen natürlichen und adäquaten Kausalzusammenhang zwischen dem Unfallereignis und dem eingetretenen Schaden voraus ( BGE 129 V 177 E. 3.2 S. 181). Daraus folgert sie in Verbindung mit der rechtskräftigen Zusprache der Integritätsentschädigung aber zu Unrecht, dass ihr weitergehende Leistungen, insbesondere eine Invalidenrente, nicht mit dem Argument verweigert werden dürfen, der natürliche Kausalzusammenhang zwischen Ereignis und eingetretenem Schaden sei nicht adäquat und damit nicht rechtsgenüglich. Nach der Rechtsprechung ist grundsätzlich nur das Dispositiv, nicht aber die Begründung eines Entscheids selbstständig anfechtbar ( BGE 120 V 233 E. 1a mit S. 237 Hinweis, 110 V48 E. 3c S. 52 in fine, 106 V 92 E. 1). Die Motive einer Verwaltungsverfügung könnten nur dann zum Dispositiv gehören, wenn und soweit sie Gegenstand eines Feststellungsentscheides bilden (Urteil K 47/01 vom 25. August 2003 E. 1.2). So verhält es sich vorliegend nicht. War die mit der Zusprache der Integritätsentschädigung verbundene implizite Bejahung des natürlichen und adäquaten Kausalzusammenhangs nicht selbstständig anfechtbar, so ist sie für die Beurteilung anderer Leistungsansprüche auch nicht verbindlich. Demnach kann die Unfallversicherung trotz der zugesprochenen Integritätsentschädigung die Ausrichtung weitergehender Leistungen, insbesondere einer Invalidenrente, mangels rechtsgenüglicher Kausalität ablehnen (vgl. auch Urteil 8C_623/2007 vom 22. August 2008, insbesondere E. 9.1).</w:t>
      </w:r>
    </w:p>
    <w:p>
      <w:r>
        <w:rPr>
          <w:b/>
        </w:rPr>
        <w:t>E. 3.3</w:t>
      </w:r>
    </w:p>
    <w:p>
      <w:r>
        <w:t>Wie die Vorinstanz zutreffend erwogen hat und von der Beschwerdeführerin auch nicht substantiiert bestritten wird, ist der Kausalzusammenhang zwischen dem als mittelschwer im Grenzbereich zu den leichten Unfällen zu qualifizierenden Ereignis (vgl. RKUV 2005 Nr. U 549 S. 236, U 380/04 E. 5.1.2) vom 11. Mai 2002 und den über den 1. Juli 2006 hinaus geklagten Beschwerden nicht adäquat und damit nicht rechtsgenüglich. Demnach schuldet die Beschwerdegegnerin der Versicherten keine weiteren Leistungen; die Beschwerde ist abzuweisen.</w:t>
      </w:r>
    </w:p>
    <w:p>
      <w:r>
        <w:rPr>
          <w:b/>
        </w:rPr>
        <w:t>E. 4</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