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159/2024 vom 15. April 2024</w:t>
      </w:r>
    </w:p>
    <w:p>
      <w:r>
        <w:t>Bundesgericht, 2024-04-15, DE</w:t>
      </w:r>
    </w:p>
    <w:p>
      <w:r>
        <w:rPr>
          <w:b/>
        </w:rPr>
        <w:t xml:space="preserve">Quelle: </w:t>
      </w:r>
      <w:r>
        <w:t>https://mcp.opencaselaw.ch/entscheid/bger_8C_159_2024</w:t>
      </w:r>
    </w:p>
    <w:p>
      <w:r>
        <w:t>FR: TF 8C 159/2024 du 15 avril 2024</w:t>
      </w:r>
    </w:p>
    <w:p>
      <w:r>
        <w:t>IT: TF 8C 159/2024 del 15 aprile 2024</w:t>
      </w:r>
    </w:p>
    <w:p>
      <w:pPr>
        <w:pStyle w:val="Heading2"/>
      </w:pPr>
      <w:r>
        <w:t>Regeste</w:t>
      </w:r>
    </w:p>
    <w:p>
      <w:r>
        <w:t>Ergänzungsleistung zur AHV/IV (Prozessvoraussetzung) | Ergänzungsleistung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ist mit Urteil vom 23. Februar 2024 auf die gegen den Einspracheentscheid der Beschwerdegegnerin vom 18. September 2023 erhobene Beschwerde wegen nicht fristgerecht bezahlten Kostenvorschusses nicht eingetreten. Zur näheren Begründung hielt es fest, der Beschwerdeführerin mit Verfügung vom 28. November 2023 Ratenzahlungen bewilligt zu haben unter der Androhung, auf die Beschwerde nicht einzutreten, sobald eine Zahlung nicht oder nicht rechtzeitig geleistet werde (§ 195 Abs. 2 VRG/LU). Die dritte Rate mit Fälligkeitsdatum 31. Januar 2024 sei verspätet geleistet worden, weshalb androhungsgemäss zu verfahren sei. In der Ratenzahlungsverfügung fand sich betreffend Zahlungen über ein Post- oder Bankkonto der Hinweis, dass die Zahlungsfrist als gewahrt gelte, wenn der Betrag am letzten Tag der Frist dem Post- oder Bankkonto belastet werde.</w:t>
      </w:r>
    </w:p>
    <w:p>
      <w:r>
        <w:rPr>
          <w:b/>
        </w:rPr>
        <w:t>E. 3</w:t>
      </w:r>
    </w:p>
    <w:p>
      <w:r>
        <w:t>Die Beschwerdeführerin zeigt nicht auf, inwiefern die vorinstanzliche Feststellung, wonach die fragliche Rate nicht bis spätestens am 31. Januar 2024 geleistet worden sei, offensichtlich unrichtig (vgl. Art. 97 Abs. 1 BGG ) - mithin willkürlich ( BGE 146 IV 88 E. 1.3.1 f.; 140 III 115 E. 2; je mit Hinweisen) - oder sonstwie bundesrechtswidrig sein soll. Allein geltend zu machen, die Ratenzahlung sei nicht, wie von der Vorinstanz ausgeführt, am 16. Februar 2024 und damit erheblich verspätet erfolgt, sondern (zunächst) irrtümlicherweise an eine falsche Amtsstelle übermittelt worden, reicht nicht aus. Dass diese Zahlung an die falsche Stelle fristgerecht erfolgt sein soll, wird weder näher ausgeführt noch belegt. Das Gegenteil ist der Fall: Der aufgelegte Zahlungsbeleg der Bank B.________ trägt als Ausführungsdatum den 1. Februar 2024, was - wenn auch nur ein Tag - ausserhalb der Zahlungsfrist liegt. Ebenso wenig tut die Beschwerdeführerin dar, die auf der Feststellung der verspäteten Ratenzahlung beruhenden Erwägungen der Vorinstanz würden gegen Bundesrecht verstossen oder einen anderen Beschwerdegrund (vgl. Art. 95 lit. a-e BGG ) setzen. Um Nachsicht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