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8C_159/2018 vom 17. Dezember 2018</w:t>
      </w:r>
    </w:p>
    <w:p>
      <w:r>
        <w:t>Bundesgericht, 2018-12-17, FR</w:t>
      </w:r>
    </w:p>
    <w:p>
      <w:r>
        <w:rPr>
          <w:b/>
        </w:rPr>
        <w:t xml:space="preserve">Quelle: </w:t>
      </w:r>
      <w:r>
        <w:t>https://mcp.opencaselaw.ch/entscheid/bger_8C_159_2018</w:t>
      </w:r>
    </w:p>
    <w:p>
      <w:r>
        <w:t>FR: TF 8C_159/2018 du 17 décembre 2018</w:t>
      </w:r>
    </w:p>
    <w:p>
      <w:r>
        <w:t>IT: TF 8C_159/2018 del 17 dicembre 2018</w:t>
      </w:r>
    </w:p>
    <w:p>
      <w:pPr>
        <w:pStyle w:val="Heading2"/>
      </w:pPr>
      <w:r>
        <w:t>Erwägungen</w:t>
      </w:r>
    </w:p>
    <w:p>
      <w:r>
        <w:rPr>
          <w:b/>
        </w:rPr>
        <w:t>E. 1</w:t>
      </w:r>
    </w:p>
    <w:p>
      <w:r>
        <w:t>Le jugement entrepris a été rendu en matière de rapports de travail de droit public au sens de l' art. 83 let . g LTF. Dans la mesure où la contestation porte sur la résiliation des rapports de service, il s'agit d'une contestation pécuniaire, de sorte que le motif d'exclusion de l' art. 83 let . g LTF n'entre pas en considération (p. ex.: arrêt 8C_310/2017 du 14 mai 2018 consid. 1 et l'arrêt cité). La valeur litigieuse dépasse largement le seuil de 15'000 fr. ouvrant la voie du recours en matière de droit public en ce domaine (art. 51 al. 2 et 85 al. 1 let. b LTF).</w:t>
      </w:r>
    </w:p>
    <w:p>
      <w:r>
        <w:t>Pour le surplus, interjeté en temps utile et dans les formes requises contre une décision finale prise par un tribunal cantonal, le recours respecte les exigences des art. 42, 86 al. 1 let . d, 90 et 100 al. 1 LTF. Il est par conséquent recevable.</w:t>
      </w:r>
    </w:p>
    <w:p>
      <w:r>
        <w:rPr>
          <w:b/>
        </w:rPr>
        <w:t>E. 2</w:t>
      </w:r>
    </w:p>
    <w:p>
      <w:r>
        <w:t>Par motifs fondés, il faut entendre toutes circonstances qui, d'après les règles de la bonne foi, ne permettent plus de maintenir les rapports de service. Sont notamment considérés comme motifs fondés:</w:t>
      </w:r>
    </w:p>
    <w:p>
      <w:r>
        <w:t>- l'insuffisance des prestations;</w:t>
      </w:r>
    </w:p>
    <w:p>
      <w:r>
        <w:t>- l'inaptitude à remplir les exigences du poste;</w:t>
      </w:r>
    </w:p>
    <w:p>
      <w:r>
        <w:t>- la disparition durable d'une condition d'engagement;</w:t>
      </w:r>
    </w:p>
    <w:p>
      <w:r>
        <w:t>- un manquement grave ou répété aux devoirs généraux.</w:t>
      </w:r>
    </w:p>
    <w:p>
      <w:r>
        <w:rPr>
          <w:b/>
        </w:rPr>
        <w:t>E. 3</w:t>
      </w:r>
    </w:p>
    <w:p>
      <w:r>
        <w:t>Le fonctionnaire doit être entendu préalablement par le Conseil administratif sur les motifs de licenciement invoqués. Le licenciement fait l'objet d'une décision motivée.</w:t>
      </w:r>
    </w:p>
    <w:p>
      <w:r>
        <w:rPr>
          <w:b/>
        </w:rPr>
        <w:t>E. 3.1</w:t>
      </w:r>
    </w:p>
    <w:p>
      <w:r>
        <w:t>Dans un premier grief de nature formelle, le recourant reproche à la juridiction cantonale d'avoir violé son droit d'être entendu en refusant de donner suite à sa requête d'audition en qualité de témoins de deux fonctionnaires de l'administration municipale, soit G.________ et H.________. Il relève que malgré ses offres de preuve et le courrier du juge délégué du 6 avril 2017 l'informant que des mesures d'instruction complémentaires ne seraient pas ordonnées, l'arrêt attaqué ne contient aucune explication sur la renonciation à entendre les témoins précités. Il reproche à la juridiction cantonale d'avoir procédé arbitrairement à une administration anticipée des preuves.</w:t>
      </w:r>
    </w:p>
    <w:p>
      <w:r>
        <w:rPr>
          <w:b/>
        </w:rPr>
        <w:t>E. 3.2</w:t>
      </w:r>
    </w:p>
    <w:p>
      <w:r>
        <w:t>Tel qu'il est reconnu par l' art. 29 al. 2 Cst. , le droit d'être entendu comprend notamment le droit pour l'intéressé de prendre connaissance du dossier et d'offrir des preuves pertinentes ( ATF 140 I 285 consid. 6.3.1 p. 299; 135 II 286 consid. 5.1 p. 293). L' art. 29 al. 2 Cst. impose en particulier à l'autorité de donner suite à une offre de preuve lorsque celle-ci a été demandée en temps utile, dans les formes prescrites et qu'elle apparaît de nature à influer sur le sort de la décision à rendre.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 ATF 140 I 285 consid. 6.3.1 p. 299; 136 I 229 consid. 5.3 p. 236 s.; 134 I 140 consid. 5.3 p. 148; arrêt 2C_974/2018 du 4 décembre 2018 consid. 3.1). En particulier, l'autorité de jugement peut renoncer à faire citer des témoins, qu'ils soient à charge ou à décharge, si, dans le cadre d'une appréciation anticipée des preuves, elle peut dénier à ces témoignages une valeur probante décisive pour le jugement ( ATF 125 I 127 consid. 6c/cc p. 135 et 6c/dd p. 135 s.; 124 I 274 consid. 5b p. 285; arrêt 6B_1368/2016 du 15 novembre 2017 consid. 8.1). Le refus d'une mesure probatoire par appréciation anticipée des preuves ne peut être remis en cause devant le Tribunal fédéral qu'en invoquant l'arbitraire ( art. 9 Cst. ) de manière claire et détaillée ( art. 106 al. 2 LTF ; cf. arrêts 2C_974/2018 du 4 décembre 2018 consid. 3.1; 2C_124/2016 du 31 janvier 2017 consid. 4.1 et les références citées).</w:t>
      </w:r>
    </w:p>
    <w:p>
      <w:r>
        <w:rPr>
          <w:b/>
        </w:rPr>
        <w:t>E. 3.3</w:t>
      </w:r>
    </w:p>
    <w:p>
      <w:r>
        <w:t>La juridiction cantonale a retenu que les auditions de témoins requises par les parties n'apparaissaient pas nécessaires, dès lors que les déclarations de ces dernières et leurs écritures ainsi que les pièces au dossier comprenaient les éléments pertinents lui permettant de se prononcer en toute connaissance de cause.</w:t>
      </w:r>
    </w:p>
    <w:p>
      <w:r>
        <w:t>Par cette formulation toute générale, la cour cantonale n'explique pas, concrètement, en quoi les témoignages requis ne pouvaient pas avoir d'incidence sur l'issue de litige. Lors de l'audience d'instruction du 29 mars 2017, le recourant a notamment contesté les reproches qui lui étaient adressés par les représentants de la commune. On ne peut donc pas dire que les déclarations - contradictoires à mains égards - des parties, pas plus d'ailleurs que leurs écritures, permettaient de se prononcer en connaissance de cause. Par ailleurs, la juridiction cantonale ne précise pas en quoi les pièces du dossier suffisaient pour départager les versions opposées des parties.</w:t>
      </w:r>
    </w:p>
    <w:p>
      <w:r>
        <w:t>Comme elle le précise dans sa réponse au recours, la commune intimée - qui émet d'ailleurs des doutes sur le bien-fondé des motifs invoqués par la juridiction cantonale à l'appui de son refus - ne s'est pas opposée aux témoignages proposés. Elle a elle-même aussi sollicité l'audition de témoins et maintenu sa demande (voir notamment le procès-verbal de l'audience du 29 mars 2017, p. 8), ce qui tend à mettre en évidence la difficulté pour elle, en présence de déclarations opposées, d'établir les reproches allégués. Enfin, le jugement attaqué relève que la commune, "aux termes de ses dernières écritures", a clarifié les motifs du licenciement, en ce sens qu'elle a précisé que les difficultés rencontrées par le recourant avec plusieurs instances de la commune en lien avec C.________ n'étaient pas le motif de son licenciement. Ce motif résidait bien plutôt dans l'inaptitude de l'employé à remplir les exigences de son poste ainsi que dans son comportement. Comme le fait valoir le recourant, cette clarification de la part de la commune, intervenue après coup, était aussi un motif qui pouvait justifier l'audition de témoins sur les motifs de son licenciement.</w:t>
      </w:r>
    </w:p>
    <w:p>
      <w:r>
        <w:t>Dans ces conditions, on doit admettre que la juridiction cantonale a procédé de façon arbitraire à une appréciation anticipée des preuves et violé le droit d'être entendu du recourant. Il convient, en conséquence, de renvoyer la cause à l'autorité précédente pour qu'elle donne suite à la requête d'audition des deux témoins requise par le recourant et statue à nouveau.</w:t>
      </w:r>
    </w:p>
    <w:p>
      <w:r>
        <w:rPr>
          <w:b/>
        </w:rPr>
        <w:t>E. 4</w:t>
      </w:r>
    </w:p>
    <w:p>
      <w:r>
        <w:t>Il résulte de ce qui précède que le recours doit être admis et le jugement entrepris annulé, sans qu'il soit nécessaire d'examiner les autres griefs de fond soulevés par le recourant.</w:t>
      </w:r>
    </w:p>
    <w:p>
      <w:r>
        <w:rPr>
          <w:b/>
        </w:rPr>
        <w:t>E. 5</w:t>
      </w:r>
    </w:p>
    <w:p>
      <w:r>
        <w:t>Contrairement à ce que voudrait l'intimée, il n'y a pas lieu de déroger à la règle générale selon laquelle les frais et dépens sont en principe mis à la charge de la partie qui succombe. On ne se trouve pas, en l'espèce, dans une situation extraordinaire qui justifierait de mettre les frais à la charge du canton (cf. BERNARD CORBOZ, in Commentaire de la LTF, 2</w:t>
      </w:r>
    </w:p>
    <w:p>
      <w:r>
        <w:t>e éd. 2014, n° 20 ad art. 66 LTF ; pour des cas semblables, voir arrêt 8C_528/2017 du 19 décembre 2017 consid. 3 et les références citées). Par conséquent, l'intimée supportera les frais judiciaires ( art. 66 al. 1 LTF ) et versera au recourant une indemnité de dépens ( art. 68 al. 1 LTF ). La demande d'assistance judiciaire du recourant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