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8C_158/2026 vom 17. März 2026</w:t>
      </w:r>
    </w:p>
    <w:p>
      <w:r>
        <w:t>Bundesgericht, 2026-03-17, DE</w:t>
      </w:r>
    </w:p>
    <w:p>
      <w:r>
        <w:rPr>
          <w:b/>
        </w:rPr>
        <w:t xml:space="preserve">Quelle: </w:t>
      </w:r>
      <w:r>
        <w:t>https://mcp.opencaselaw.ch/entscheid/bger_8C_158_2026</w:t>
      </w:r>
    </w:p>
    <w:p>
      <w:r>
        <w:t>FR: TF 8C_158/2026 du 17 mars 2026</w:t>
      </w:r>
    </w:p>
    <w:p>
      <w:r>
        <w:t>IT: TF 8C_158/2026 del 17 marzo 2026</w:t>
      </w:r>
    </w:p>
    <w:p>
      <w:pPr>
        <w:pStyle w:val="Heading2"/>
      </w:pPr>
      <w:r>
        <w:t>Erwägungen</w:t>
      </w:r>
    </w:p>
    <w:p>
      <w:r>
        <w:rPr>
          <w:b/>
        </w:rPr>
        <w:t>E. 1</w:t>
      </w:r>
    </w:p>
    <w:p>
      <w:r>
        <w:t>A.________ übermittelt am 21. Februar 2026 eine E-Mail an das Sozialversicherungsgericht des Kantons Zürich (kanzlei@svgr-zh.ch). Darin erhebt er Beschwerde gegen das Urteil IV.2025.00083 des Sozialversicherungsgerichts des Kantons Zürich vom 17. Dezember 2025. Das Sozialversicherungsgericht leitet diese Eingabe an das Bundesgericht weiter.</w:t>
      </w:r>
    </w:p>
    <w:p>
      <w:r>
        <w:rPr>
          <w:b/>
        </w:rPr>
        <w:t>E. 2</w:t>
      </w:r>
    </w:p>
    <w:p>
      <w:r>
        <w:t>Zwar sieht Art. 42 Abs. 4 BGG die Möglichkeit vor, eine Beschwerde elektronisch einzureichen. Allerdings muss diesfalls die im PDF-Format einzureichende Rechtsschrift von der Partei oder ihrem Vertreter beziehungsweise ihrer Vertreterin mit einer qualifizierten Signatur gemäss Bundesgesetz über die elektronische Signatur (SR 953.03) versehen sein ( Art. 4 ReRBGer , SR 173.110.29). Die Übermittlung/ Einreichung hat zudem über eine anerkannte Zustellplattform zu erfolgen ( Art. 3 und 5 ReRBGer ).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 Rechtsprechungsgemäss besteht der Anspruch auf eine Nachfrist indessen nur bei unfreiwilligen Unterlassungen, nicht aber, wenn dies bewusst - durch Übermittlung per Telefax oder gewöhnliche E-Mail - geschieht. Denn die Partei, die eine Rechtsschrift per Telefax oder gewöhnlicher E-Mail einreicht, weiss bzw. muss wissen, dass damit gegen das Unterschriftserfordernis verstossen wird (vgl. BGE 142 V 152 E. 4.5 mit Hinweisen; 121 II 252 E. 4b; vgl. auch FLORENCE AUBRY GIRARDIN, in: Commentaire de la LTF, 3. Aufl. 2022, N. 60 zu Art. 42 BGG ).</w:t>
      </w:r>
    </w:p>
    <w:p>
      <w:r>
        <w:rPr>
          <w:b/>
        </w:rPr>
        <w:t>E. 3</w:t>
      </w:r>
    </w:p>
    <w:p>
      <w:r>
        <w:t>Folglich erweist sich die am 21. Februar 2026 eingereichte Eingabe des Beschwerdeführers, welche per gewöhnlicher, überdies nicht dem Bundesgericht übermittelter E-Mail erfolgte, als unzulässig. Auf die Ansetzung einer Nachfrist für die Behebung des Mangels besteht nach dem Gesagten kein Anspruch.</w:t>
      </w:r>
    </w:p>
    <w:p>
      <w:r>
        <w:rPr>
          <w:b/>
        </w:rPr>
        <w:t>E. 4</w:t>
      </w:r>
    </w:p>
    <w:p>
      <w:r>
        <w:t>Ohnehin vermag das in der E-Mail Ausgeführte auch nicht den Mindestbegründungsanforderungen an eine Beschwerde in öffentlich-rechtlichen Angelegenheiten gemäss Art. 42 Abs. 2 BGG zu genügen (Näheres zur letztinstanzlich unzulässigen appellatorischen Kritik: BGE 148 IV 205 E. 2.6; 144 V 50 E. 4.2; 137 V 57 E. 1.3 und 136 I 65 E. 1.3.1).</w:t>
      </w:r>
    </w:p>
    <w:p>
      <w:r>
        <w:rPr>
          <w:b/>
        </w:rPr>
        <w:t>E. 5</w:t>
      </w:r>
    </w:p>
    <w:p>
      <w:r>
        <w:t>Liegt offensichtlich eine unzulässige bzw. nicht hinreichend begründete Beschwerde vor, so führt dies zu einem Nichteintreten im vereinfachten Verfahren nach Art. 108 Abs. 1 lit. a und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