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158/2017 vom 22. August 2017</w:t>
      </w:r>
    </w:p>
    <w:p>
      <w:r>
        <w:t>Bundesgericht, 2017-08-22, DE</w:t>
      </w:r>
    </w:p>
    <w:p>
      <w:r>
        <w:rPr>
          <w:b/>
        </w:rPr>
        <w:t xml:space="preserve">Quelle: </w:t>
      </w:r>
      <w:r>
        <w:t>https://mcp.opencaselaw.ch/entscheid/bger_8C_158_2017</w:t>
      </w:r>
    </w:p>
    <w:p>
      <w:r>
        <w:t>FR: TF 8C 158/2017 du 22 août 2017</w:t>
      </w:r>
    </w:p>
    <w:p>
      <w:r>
        <w:t>IT: TF 8C 158/2017 del 22 agosto 2017</w:t>
      </w:r>
    </w:p>
    <w:p>
      <w:pPr>
        <w:pStyle w:val="Heading2"/>
      </w:pPr>
      <w:r>
        <w:t>Regeste</w:t>
      </w:r>
    </w:p>
    <w:p>
      <w:r>
        <w:t>Invalidenversicherung (Invalidenrente, Neuanmeldung) | Invalidenversicherung</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Rechtsfragen ( BGE 132 V 393 E. 3.2 und 4 S. 397 ff.; Urteil 8C_253/2017 vom 29. Juni 2017 E. 1.3).</w:t>
      </w:r>
    </w:p>
    <w:p>
      <w:r>
        <w:rPr>
          <w:b/>
        </w:rPr>
        <w:t>E. 2</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 Die letztinstanzlich neu aufgelegten, erst nach dem angefochtenen Entscheid entstandenen Dokumente - so die Verfügung betr. fürsorgerische Unterbringung der Psychiatrischen Dienste Spital C.________ vom 9. Februar 2017, der Überweisungsbericht Psychiatrische Dienste Spital C.________/Psychiatriezentrum D.________ vom 10. Februar 2017, der stationäre Bericht des Psychiatriezentrums D.________ vom 17. Februar 2017 und die versicherungspsychiatrische Stellungnahme der Dr. med. B.________ vom 17. Februar 2017 mitsamt Lebenslauf der Gutachterin - haben somit als echte Noven unbeachtlich zu bleiben. Überdies ist ohnehin im Normalfall - wie vorliegend - der Sachverhalt zu beurteilen, wie er sich bis zum Verfügungszeitpunkt entwickelt hat ( BGE 121 V 362 E. 1b S. 366 mit Hinweisen).</w:t>
      </w:r>
    </w:p>
    <w:p>
      <w:r>
        <w:rPr>
          <w:b/>
        </w:rPr>
        <w:t>E. 3</w:t>
      </w:r>
    </w:p>
    <w:p>
      <w:r>
        <w:t>Streitig ist, ob Vorinstanz und Verwaltung das Neuanmeldungsgesuch der Versicherten zu Recht abgewiesen haben. Zu prüfen ist dabei insbesondere, ob sich in der Zeit zwischen dem 20. Juni 2008 (Zeitpunkt der letzten, mit Entscheid des Kantonsgerichts Wallis vom 24. November 2009 bestätigten Verfügung) und dem 14. April 2016 (Datum der angefochtenen Verfügung) eine rentenbegründende Änderung des Sachverhalts ergeben hat. Die Vorinstanz hat die rechtlichen Grundlagen der Erwerbsunfähigkeit ( Art. 7 Abs. 1 ATSG ), der Invalidität ( Art. 8 Abs. 1 ATSG ) und des Rentenanspruchs ( Art. 28 Abs. 2 IVG ) zutreffend dargelegt. Richtig sind auch die Ausführungen zu den bei der Neuanmeldung analog anwendbaren Revisionsregeln ( Art. 17 Abs. 1 ATSG ; BGE 134 V 131 E. 3 S. 132, 117 V 198 E. 3a) sowie zum Beweiswert und zur Beweiswürdigung medizinischer Berichte und Gutachten ( BGE 137 V 210 E. 6.2.2 S. 269; 134 V 231 E. 5.1 S. 232; 125 V 351 E. 3a S. 352). Darauf wird verwiesen.</w:t>
      </w:r>
    </w:p>
    <w:p>
      <w:r>
        <w:rPr>
          <w:b/>
        </w:rPr>
        <w:t>E. 4.1</w:t>
      </w:r>
    </w:p>
    <w:p>
      <w:r>
        <w:t>Das kantonale Gericht hat in umfassender Würdigung der gesamten medizinischen Aktenlage, insbesondere gestützt auf das Gutachten des SMAB vom 9. Februar 2016 mit einlässlicher und nachvollziehbarer Begründung erkannt, dass nach wie vor kein rentenbegründender Invaliditätsgrad von mindestens 40 % bestehe. Die Beschwerdeführerin leide - so die Vorinstanz - gemäss beweiskräftigem Gutachten an einer kombinierten Persönlichkeitsstörung mit histrionischen und emotional instabilen Anteilen sowie an einer Somatisierungs- bzw. somatoformen Schmerzstörung. Eine somatoforme Schmerzstörung bzw. ein den gleichen versicherungsrechtlichen Anforderungen unterstelltes Leiden aus dem psychosomatischen Formenkreis sowie eine kombinierte Persönlichkeitsstörung hätten bereits im Vergleichszeitpunkt Juni 2008 vorgelegen. Auch die medizinisch-theoretische Arbeitsunfähigkeit sei im Wesentlichen unverändert geblieben, indem die Versicherte in der bisherigen und in einer angepassten Tätigkeit nach wie vor zu 80 % arbeitsfähig sei.</w:t>
      </w:r>
    </w:p>
    <w:p>
      <w:r>
        <w:rPr>
          <w:b/>
        </w:rPr>
        <w:t>E. 4.2</w:t>
      </w:r>
    </w:p>
    <w:p>
      <w:r>
        <w:t>Die durch das kantonale Gericht getroffenen Tatsachenfeststellungen, namentlich die aus den medizinischen Unterlagen gewonnenen Erkenntnisse, sind im letztinstanzlichen Prozess grundsätzlich verbindlich (vgl. E. 1 hievor). Was die Beschwerdeführerin gegen diese Feststellungen vorbringt, vermag sie nicht als bundesrechtswidrig erscheinen zu lassen. Auf ein im Verfahren nach Art. 44 ATSG eingeholtes Gutachten ist rechtsprechungsgemäss abzustellen, wenn nicht konkrete Indizien gegen die Zuverlässigkeit der Expertise sprechen ( BGE 137 V 210 E. 2.2.2 S. 232; 135 V 465 E. 4.4 S. 470). Solche vermag die Versicherte nicht darzutun. Mit dem kantonalen Gericht ist dem Gutachten des SMAB vom 9. Februar 2016 die Erfüllung der rechtsprechungsgemässen Kriterien beweiskräftiger medizinischer Gutachten zuzuerkennen. Es basiert auf eigenen Untersuchungen und setzt sich mit den Vorakten auseinander.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 Soweit sich die Beschwerdeführerin wiederum auf abweichende Berichte behandelnder Ärzte beruft, ist mit dem kantonalen Gericht der Erfahrungstatsache Rechnung zu tragen, dass behandelnde Ärztinnen und Ärzte wie auch Therapiepersonen mitunter im Hinblick auf ihre Vertrauensstellung in Zweifelsfällen eher zu Gunsten ihrer Patientinnen und Patienten aussagen ( BGE 135 V 465 E. 4.5 S. 470). Zudem hat die Vorinstanz zu Recht darauf hingewiesen, dass die Diagnose einer chronischen paranoiden Schizophrenie, auf welche sich die Versicherte beruft, sowohl im Bericht des behandelnden Psychiaters Dr. med. E.________, Facharzt für Psychiatrie und Psychotherapie, Spital F.________, vom 16. Februar 2015, im Austrittsbericht des Spitals F.________ vom 1. Mai 2015 und im Austrittsbericht der Klinik G.________ vom 24. März 2016 lediglich als Verdachtsdiagnose gestellt worden war. Erst im Schreiben vom 11. Mai 2016 an den Rechtsvertreter der Versicherten - und somit nach Kenntnis des Gutachtens des SMAB vom 9. Februar 2016 - äusserte sich der behandelnde Psychiater dahingehend, dass er eine chronische paranoide Schizophrenie als zweifellos gegeben erachte, dies indessen ohne nähere Begründung seines Meinungsumschwungs. Die neu aufgelegten Urkunden schliesslich haben - wie in E. 2 hievor dargelegt - als echte Noven unberücksichtigt zu bleiben. Der Umstand, dass ganze Passagen der versicherungspsychiatrischen Stellungnahme der Dr. med. B.________ vom 17. Februar 2017 in die Beschwerdeschrift hineinkopiert worden sind, ändert nichts daran, dass die Stellungnahme als echtes Novum unbeachtlich zu bleiben hat.</w:t>
      </w:r>
    </w:p>
    <w:p>
      <w:r>
        <w:rPr>
          <w:b/>
        </w:rPr>
        <w:t>E. 4.3</w:t>
      </w:r>
    </w:p>
    <w:p>
      <w:r>
        <w:t>Da die aktenkundigen ärztlichen Unterlagen für den massgebenden Zeitpunkt eine zuverlässige Beurteilung erlauben, konnte und kann auf weitergehende Erhebungen verzichtet werden (antizipierte Beweiswürdigung; BGE 136 I 229 E. 5.3 S. 236 f. mit Hinweis; Urteil 8C_19/2017 vom 22. Mai 2017 E. 5.3).</w:t>
      </w:r>
    </w:p>
    <w:p>
      <w:r>
        <w:rPr>
          <w:b/>
        </w:rPr>
        <w:t>E. 4.4</w:t>
      </w:r>
    </w:p>
    <w:p>
      <w:r>
        <w:t>Zusammenfassend hat es beim vorinstanzlichen Entscheid sein Bewenden.</w:t>
      </w:r>
    </w:p>
    <w:p>
      <w:r>
        <w:rPr>
          <w:b/>
        </w:rPr>
        <w:t>E. 5</w:t>
      </w:r>
    </w:p>
    <w:p>
      <w:r>
        <w:t>Soweit die Beschwerdeführerin davon ausgeht, eine seit dem Erlass der angefochtenen Verfügung vom 14. April 2016 eingetretene namhafte Verschlechterung des Gesundheitszustandes glaubhaft machen zu können, steht es ihr frei, sich erneut mit einem Leistungsbegehren an die Invalidenversicherung zu wenden.</w:t>
      </w:r>
    </w:p>
    <w:p>
      <w:r>
        <w:rPr>
          <w:b/>
        </w:rPr>
        <w:t>E. 6</w:t>
      </w:r>
    </w:p>
    <w:p>
      <w:r>
        <w:t>Die Kosten eines von der versicherten Person veranlassten Gutachtens sind vom Versicherungsträger dann zu übernehmen, wenn sich der medizinische Sachverhalt erst auf Grund des neu beigebrachten Untersuchungsergebnisses schlüssig feststellen lässt und dem Versicherer insoweit eine Verletzung der ihm im Rahmen des Untersuchungsgrundsatzes obliegenden Pflicht zur rechtsgenüglichen Sachverhaltsabklärung vorzuwerfen ist (RKUV 2004 Nr. U 503 S. 186 [U 282/00] und Urteil 8C_280/2014 vom 30. Januar 2015 E. 5). Vorliegend kann auf die versicherungspsychiatrische Stellungnahme der Dr. med. B.________ vom 17. Februar 2017 nicht abgestellt werden (vgl. E. 2 hievor). Dem Antrag der Versicherten, die Kosten der von ihr in Auftrag gegebenen versicherungsmedizinischen Beurteilung der IV-Stelle aufzuerlegen, ist somit nicht stattzugeben.</w:t>
      </w:r>
    </w:p>
    <w:p>
      <w:r>
        <w:rPr>
          <w:b/>
        </w:rPr>
        <w:t>E. 7</w:t>
      </w:r>
    </w:p>
    <w:p>
      <w:r>
        <w:t>Die unterliegende Beschwerdeführerin trägt die Gerichtskosten ( Art. 66 Abs. 1 BGG ). Die unentgeltliche Rechtspflege kann ihr gewährt werden ( Art. 64 BGG ). Die Versicherte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