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8C_158/2016 vom 2. Februar 2017</w:t>
      </w:r>
    </w:p>
    <w:p>
      <w:r>
        <w:t>Bundesgericht, 2017-02-02, FR</w:t>
      </w:r>
    </w:p>
    <w:p>
      <w:r>
        <w:rPr>
          <w:b/>
        </w:rPr>
        <w:t xml:space="preserve">Quelle: </w:t>
      </w:r>
      <w:r>
        <w:t>https://mcp.opencaselaw.ch/entscheid/bger_8C_158_2016</w:t>
      </w:r>
    </w:p>
    <w:p>
      <w:r>
        <w:t>FR: TF 8C_158/2016 du 2 février 2017</w:t>
      </w:r>
    </w:p>
    <w:p>
      <w:r>
        <w:t>IT: TF 8C_158/2016 del 2 febbraio 2017</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Dans le domaine des rapports de travail de droit public, le recours en matière de droit public n'est recevable que si la valeur litigieuse s'élève au moins à 15'000 fr. ( art. 85 al. 1 let. b LTF ). Le recours est recevable sans égard à la valeur litigieuse lorsque la contestation soulève une question juridique de principe ( art. 85 al. 2 LTF ).</w:t>
      </w:r>
    </w:p>
    <w:p>
      <w:r>
        <w:rPr>
          <w:b/>
        </w:rPr>
        <w:t>E. 2.2</w:t>
      </w:r>
    </w:p>
    <w:p>
      <w:r>
        <w:t>Le jugement cantonal ne mentionne pas la valeur litigieuse contrairement à ce que prescrit l' art. 112 al. 1 let . d LTF. Le recourant fait valoir que la suppression de l'indemnité litigieuse représente une baisse de salaire de 1'280 fr. 35 par mois sur une période allant du 1</w:t>
      </w:r>
    </w:p>
    <w:p>
      <w:r>
        <w:t>er avril 2015 au 31 décembre 2017 en tout cas (date de l'entrée en vigueur supposée d'une nouvelle évaluation des fonctions). Cela représente un montant total de 37'000 fr. environ, dépassant largement le seuil requis de 15'000 fr.</w:t>
      </w:r>
    </w:p>
    <w:p>
      <w:r>
        <w:t>Le Conseil d'Etat soutient, en revanche, que la limite de 15'000 fr. n'est pas atteinte. Il fait valoir que le recourant, né en 1963, touchera, du fait de la suppression de l'indemnité en cause, une compensation mensuelle de 604 fr. 55 dès le 1</w:t>
      </w:r>
    </w:p>
    <w:p>
      <w:r>
        <w:t>er avril 2015 jusqu'en mars 2028 (âge de la retraite). Cette compensation se fonde sur l'art. 46 LTrait (dispositions transitoires en faveur de collaborateurs qui sont déjà membres de la fonction publique cantonale au 31 décembre 2008) et sur l'art. 16 RTrait. Aussi bien la comparaison entre la situation où le recourant aurait perçu l'indemnité de 8,3 % jusqu'au 31 décembre 2017 et la situation où il touche la compensation jusqu'à sa retraite démontre, selon le Conseil d'Etat, que la deuxième situation est plus favorable que la première. A moyen terme, le recourant ne subirait, en réalité, aucune baisse de salaire.</w:t>
      </w:r>
    </w:p>
    <w:p>
      <w:r>
        <w:rPr>
          <w:b/>
        </w:rPr>
        <w:t>E. 2.3</w:t>
      </w:r>
    </w:p>
    <w:p>
      <w:r>
        <w:t>Sur la base de ces indications contradictoires et faute de constatations ou d'éléments d'appréciation décisifs permettant au Tribunal fédéral de fixer lui-même la valeur litigieuse, il n'est pas possible de constater d'emblée et avec certitude que le seuil de 15'000 fr. est atteint. D'autre part, le litige - le contraire n'est au demeurant pas allégué - ne soulève à l'évidence pas une question juridique de principe (sur cette notion, voir par exemple ATF 141 II 113 consid. 1.4.1 p. 118 s.). Le recours en matière de droit public n'est ainsi pas recevable.</w:t>
      </w:r>
    </w:p>
    <w:p>
      <w:r>
        <w:rPr>
          <w:b/>
        </w:rPr>
        <w:t>E. 2.4</w:t>
      </w:r>
    </w:p>
    <w:p>
      <w:r>
        <w:t>L'intitulé erroné du recours ne nuit toutefois pas à son auteur, pour autant que les conditions de recevabilité du recours qui aurait dû être interjeté soient réunies (cf. ATF 134 III 379 consid. 1.2 p. 382; 131 I 291 p. 296 consid. 1.3 et les références citées), ce qui est le cas en l'espèce. En effet, le recourant n'invoque que des violations de droit constitutionnel, griefs recevables dans un recours constitutionnel subsidiaire ( art. 116 LTF ). Pour cette raison et dans la mesure où le recourant peut se prévaloir d'un intérêt juridique à l'annulation du jugement entrepris ( art. 115 al. 1 let. b LTF ; cf. arrêt 8D_1/2016 du 23 janvier 2017 consid. 3.1; voir aussi KIENER/RÜTSCHE/KUHN, Öffentliches Verfahrensrecht, 2</w:t>
      </w:r>
    </w:p>
    <w:p>
      <w:r>
        <w:t>e éd. 2015, n. 1876 et 1881), le recours sera traité comme tel.</w:t>
      </w:r>
    </w:p>
    <w:p>
      <w:r>
        <w:rPr>
          <w:b/>
        </w:rPr>
        <w:t>E. 3.1</w:t>
      </w:r>
    </w:p>
    <w:p>
      <w:r>
        <w:t>Le recourant se plaint d'une violation de son droit d'être entendu ( art. 29 al. 2 Cst. ). Il reproche aux premiers juges de ne pas avoir ordonné une audience de comparution personnelle, qu'il avait pourtant demandée. Il fait valoir que cette audience avait pour but de démontrer qu'il avait renoncé à certaines prétentions salariales auxquelles il aurait pu prétendre, compte tenu de ses conditions de travail et de son certificat de formation continue dans le domaine des droits de l'homme. S'il y avait renoncé c'était précisément, affirme-t-il, parce qu'il avait reçu une forme de compensation par le versement de l'indemnité prévue par l'ancien art. 23A LTrait.</w:t>
      </w:r>
    </w:p>
    <w:p>
      <w:r>
        <w:rPr>
          <w:b/>
        </w:rPr>
        <w:t>E. 3.2</w:t>
      </w:r>
    </w:p>
    <w:p>
      <w:r>
        <w:t>D'emblée, il faut rappeler que les garanties ancrées à l' art. 29 al. 2 Cst. ne comprennent pas le droit d'être entendu oralement (cf. ATF 140 I 68 consid. 9.6.1 p. 76; 134 I 140 consid. 5.3 p. 148). En outre, le recourant a eu la possibilité de mettre en évidence la réalité de ses conditions de travail, ainsi que sa formation continue, dans ses écritures à l'autorité cantonale et on ne voit pas qu'une audition en présence des parties aurait pu apporter des éléments supplémentaires indispensables pour trancher le litige. Le recourant, au demeurant, ne l'explique pas. Le grief soulevé n'est dès lors pas fondé.</w:t>
      </w:r>
    </w:p>
    <w:p>
      <w:r>
        <w:rPr>
          <w:b/>
        </w:rPr>
        <w:t>E. 4.1</w:t>
      </w:r>
    </w:p>
    <w:p>
      <w:r>
        <w:t>Dans un autre grief d'ordre formel, le recourant reproche à la juridiction cantonale d'avoir refusé de sanctionner le fait qu'il n'a pas été entendu - par écrit ou oralement - avant que la décision du 20 avril 2015 ne soit prise. Il lui reproche, en particulier, d'avoir retenu que ce grief, tiré du droit d'être entendu et formulé en réplique seulement, était tardif et d'avoir au surplus considéré que les fonctionnaires concernés étaient de toute façon au courant des intentions du législateur quant à la suppression de l'indemnité litigieuse. En outre, la juridiction cantonale aurait admis à tort qu'une violation éventuelle du droit d'être entendu pouvait de toute façon être réparée devant l'autorité judiciaire. Aussi bien le recourant invoque-t-il une violation de son droit d'être entendu ( art. 29 al. 2 Cst. ) et un refus arbitraire de l'autorité cantonale d'appliquer d'office le droit déterminant ( art. 110 LTF ; art. 69 al. 1 de la loi [du canton de Genève] du 12 septembre 1985 sur la procédure administrative [LPA; RS/GE E 5 10]).</w:t>
      </w:r>
    </w:p>
    <w:p>
      <w:r>
        <w:rPr>
          <w:b/>
        </w:rPr>
        <w:t>E. 4.2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le Conseil d'Etat n'impliquait pas que chacune des personnes visées eût la possibilité d'exercer préalablement son droit d'être entendu. Le Conseil d'Etat ne disposait en effet d'aucune marge de manoeuvre dans son exécution - que ce soit sur les faits ou sur le droit - et il n'était ainsi pas tenu d'entendre le recourant.</w:t>
      </w:r>
    </w:p>
    <w:p>
      <w:r>
        <w:t>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7e éd. 2016, n. 943 ss p. 206 s.; MOOR/POLTIER, Droit administratif, vol. II, 3</w:t>
      </w:r>
    </w:p>
    <w:p>
      <w:r>
        <w:t>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d'une pleine cognition en fait et en droit ( ATF 142 II 218 consid. 2.8.1 p. 226 et les références citées).</w:t>
      </w:r>
    </w:p>
    <w:p>
      <w:r>
        <w:rPr>
          <w:b/>
        </w:rPr>
        <w:t>E. 4.3</w:t>
      </w:r>
    </w:p>
    <w:p>
      <w:r>
        <w:t>Ici également, le grief soulevé se révèle mal fondé.</w:t>
      </w:r>
    </w:p>
    <w:p>
      <w:r>
        <w:rPr>
          <w:b/>
        </w:rPr>
        <w:t>E. 5.1</w:t>
      </w:r>
    </w:p>
    <w:p>
      <w:r>
        <w:t>Invoquant les art. 8 et 9 Cst. , le recourant soutient que la distinction entre les médecins de l'hôpital C.________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5.2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ATF 129 I 161 consid. 3.2 p. 165); elle risque en effet de créer de nouvelles inégalités ( ATF 123 I 1 consid. 6b p. 8).</w:t>
      </w:r>
    </w:p>
    <w:p>
      <w:r>
        <w:t>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141 II 411 consid. 6.1.1 p. 418; 139 I 161 consid. 5.3.1 p. 166; 138 I 321 consid. 3.3 p. 324; VINCENT MARTENET, L'égalité de rémunération dans la fonction publique, PJA 1997 p. 828 s.).</w:t>
      </w:r>
    </w:p>
    <w:p>
      <w:r>
        <w:t>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5.3.1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w:t>
      </w:r>
    </w:p>
    <w:p>
      <w:r>
        <w:t>e législature - 4</w:t>
      </w:r>
    </w:p>
    <w:p>
      <w:r>
        <w:t>e année - 1</w:t>
      </w:r>
    </w:p>
    <w:p>
      <w:r>
        <w:t>re session - 2</w:t>
      </w:r>
    </w:p>
    <w:p>
      <w:r>
        <w:t>e séance, disponible sur ge.ch/grandconseil/memorial/seances/560401/2/ [consulté le 27 janvier 2017]).</w:t>
      </w:r>
    </w:p>
    <w:p>
      <w:r>
        <w:rPr>
          <w:b/>
        </w:rPr>
        <w:t>E. 5.3.2</w:t>
      </w:r>
    </w:p>
    <w:p>
      <w:r>
        <w:t>Le jugement attaqué expose également, en les résumant, les motifs qui ont conduit à l'adoption de la loi 11328:</w:t>
      </w:r>
    </w:p>
    <w:p>
      <w:r>
        <w:t>A l'origine se trouve un projet de loi déposé par un groupe de députés le 3 décembre 2013 (PL 11328). Il ressort de l'exposé des motifs à l'appui de ce projet que, lors de l'adoption de l'art. 23A LTrait, les conséquence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"14e salaire" au mérite pour des cadres supérieurs de la fonction publique ne se justifiait ainsi plus, ce d'autant que les autres employés de l'État se trouvaient également dans une situation difficile et ne bénéficiaient d'aucun privilège de ce type (document accessible sur ge.ch/grandconseil/data/texte/PL11328.pdf [consulté le 27 janvier 2017]).</w:t>
      </w:r>
    </w:p>
    <w:p>
      <w:r>
        <w:t>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 l'hôpital C.________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à l'hôpital C.________, les parlementaires reconnaissaient que le maintien de l'indemnité litigieuse en faveur des médecins était un moyen de garder les cadres médecins ayant de telles compétences à l'hôpital C.________ et de continuer ainsi à y offrir des soins de qualité (rapport accessible sur ge.ch/grandconseil/data/texte/PL11328A.pdf [consulté le 27 janvier 2017]).</w:t>
      </w:r>
    </w:p>
    <w:p>
      <w:r>
        <w:t>Lors de la séance du 29 janvier 2015, le Grand Conseil a examiné le PL 11328 et adopté la loi 11328. L'indemnité de 8,3 %, qui devait initialement être octroyée de manière circonstanciée et n'était pas, à proprement parler, conçue comme un "14ème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à l'hôpital C.________,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1re législature - 2e année - 1re session - 8e séance disponible sur ge.ch/grandconseil/memorial/seances/010201/8/ [consulté le 12 janvier 2017]).</w:t>
      </w:r>
    </w:p>
    <w:p>
      <w:r>
        <w:rPr>
          <w:b/>
        </w:rPr>
        <w:t>E. 5.4</w:t>
      </w:r>
    </w:p>
    <w:p>
      <w:r>
        <w:t>Il ressort de cet exposé des travaux préparatoires que le maintien de l'indemnité en cause en faveur des seuls médecins au service de l'hôpital C.________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138 I 321 consid. 6 p. 330; pour une casuistique, voir l'arrêt 8C_991/2010 du 28 juin 2011 consid. 5.5). Outre les difficultés de recrutement, les raisons budgétaires invoquées et le fait que la différence d'avec des médecins de l'hôpital C.________ est limitée dans le temps - dans l'attente d'une nouvelle grille salariale - sont également des éléments susceptibles d'être pris en considération pour justifier la différence de traitement critiquée (supra consid. 5.2).</w:t>
      </w:r>
    </w:p>
    <w:p>
      <w:r>
        <w:t>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 141 ss ad art. 15 LPers ).</w:t>
      </w:r>
    </w:p>
    <w:p>
      <w:r>
        <w:rPr>
          <w:b/>
        </w:rPr>
        <w:t>E. 5.5.1</w:t>
      </w:r>
    </w:p>
    <w:p>
      <w:r>
        <w:t>Le recourant fait valoir qu'il dirige une prison surpeuplée, qu'il est au bénéfice d'une formation universitaire complète doublée d'un certificat en droits de l'homme et qu'il travaille parfois près de 70 heures par semaine. Par rapport à un médecin de l'hôpital C.________, il se dit victime d'une inégalité de traitement injustifiée.</w:t>
      </w:r>
    </w:p>
    <w:p>
      <w:r>
        <w:rPr>
          <w:b/>
        </w:rPr>
        <w:t>E. 5.5.2</w:t>
      </w:r>
    </w:p>
    <w:p>
      <w:r>
        <w:t>Dans le domaine de la rémunération des emplois publics, un certain schématisme, propre à assurer l'égalité de traitement entre agents est toutefois nécessaire, car il prend également en considération les caractéristiques</w:t>
      </w:r>
    </w:p>
    <w:p>
      <w:r>
        <w:t>générales de la fonction et du statut et ne se fonde pas uniquement sur les prestations individuelles du fonctionnaire. En l'occurrence, ce schématisme, qui consiste ici à traiter de la même manière tous les cadres supérieurs de l'administration générale est acceptable et n'aboutit pas à un résultat incompatible avec le droit à l'égalité. Quant à la différence d'avec les médecins de l'hôpital C.________, elle ne résulte pas tant, on l'a vu, des responsabilités assumées que des difficultés de recrutement pour des postes qui impliquent des compétences élevées dans un domaine particulier. Vus sous cet angle, les motifs invoqués ici, liés aux particularités de la fonction du recourant et à sa formation, ne sont pas déterminants.</w:t>
      </w:r>
    </w:p>
    <w:p>
      <w:r>
        <w:rPr>
          <w:b/>
        </w:rPr>
        <w:t>E. 5.6</w:t>
      </w:r>
    </w:p>
    <w:p>
      <w:r>
        <w:t>En conclusion, le grief tiré d'une inégalité de traitement doit être écarté.</w:t>
      </w:r>
    </w:p>
    <w:p>
      <w:r>
        <w:rPr>
          <w:b/>
        </w:rPr>
        <w:t>E. 6.1</w:t>
      </w:r>
    </w:p>
    <w:p>
      <w:r>
        <w:t>Invoquant les art. 9 Cst. (principe de la bonne foi) et 26 Cst. (garantie de la propriété), le recourant fait valoir que selon l'ancien art. 23A LTrait, l'indemnité devait être versée au moins jusqu'à l'entrée en vigueur de la nouvelle évaluation des fonctions. Toute suppression anticipée porterait atteinte à ses droit acquis.</w:t>
      </w:r>
    </w:p>
    <w:p>
      <w:r>
        <w:rPr>
          <w:b/>
        </w:rPr>
        <w:t>E. 6.2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 ATF 134 I 23 consid. 7.5 p. 39 et les arrêts cités).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134 I 23 précité consid. 7.1 p. 35 s. et les arrêts cités).</w:t>
      </w:r>
    </w:p>
    <w:p>
      <w:r>
        <w:rPr>
          <w:b/>
        </w:rPr>
        <w:t>E. 6.3</w:t>
      </w:r>
    </w:p>
    <w:p>
      <w:r>
        <w:t>Comme on l'a vu, l'ancien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w:t>
      </w:r>
    </w:p>
    <w:p>
      <w:r>
        <w:rPr>
          <w:b/>
        </w:rPr>
        <w:t>E. 7.1</w:t>
      </w:r>
    </w:p>
    <w:p>
      <w:r>
        <w:t>En dernier lieu, le recourant reproche au législateur de ne pas avoir prévu de régime transitoire.</w:t>
      </w:r>
    </w:p>
    <w:p>
      <w:r>
        <w:rPr>
          <w:b/>
        </w:rPr>
        <w:t>E. 7.2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7.3</w:t>
      </w:r>
    </w:p>
    <w:p>
      <w:r>
        <w:t>En l'espèce, comme l'ont relevé les premiers juges, des mesures d'ordre budgétaire doivent être mises en oeuvre rapidement si l'on veut qu'elles produisent leurs effets. En outre,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Comme le relève également la juridiction cantonale, la commission parlementaire en charge d'étudier le PL 11328 avait procédé en 2014 à de nombreuses auditions, dont celle de deux membres du comité de l'Union des cadres de l'administration cantonale genevoise.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 (selon les indications fournies par l'intimé, le recourant, colloqué en classe 28, perçoit un salaire brut annuel de 188'631 fr., 13</w:t>
      </w:r>
    </w:p>
    <w:p>
      <w:r>
        <w:t>e salaire inclus). En outre, la suppression de l'indemnité est en l'espèce en partie compensée par le versement d'un montant mensuel de 604 fr. 55 (supra consid. 2.2). Dans une certaine mesure, les effets de l'abrogation de l'art. 23A LTrait s'en trouvent atténués, du moins pour ce qui est du recourant.</w:t>
      </w:r>
    </w:p>
    <w:p>
      <w:r>
        <w:rPr>
          <w:b/>
        </w:rPr>
        <w:t>E. 7.4</w:t>
      </w:r>
    </w:p>
    <w:p>
      <w:r>
        <w:t>Compte tenu de ce qui précède, l'arrêt attaqué ne viole pas le principe de la bonne foi.</w:t>
      </w:r>
    </w:p>
    <w:p>
      <w:r>
        <w:rPr>
          <w:b/>
        </w:rPr>
        <w:t>E. 8</w:t>
      </w:r>
    </w:p>
    <w:p>
      <w:r>
        <w:t>Le recours se révèle ainsi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