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8C_158/2011 vom 13. Mai 2011</w:t>
      </w:r>
    </w:p>
    <w:p>
      <w:r>
        <w:t>Bundesgericht, 2011-05-13, DE</w:t>
      </w:r>
    </w:p>
    <w:p>
      <w:r>
        <w:rPr>
          <w:b/>
        </w:rPr>
        <w:t xml:space="preserve">Quelle: </w:t>
      </w:r>
      <w:r>
        <w:t>https://mcp.opencaselaw.ch/entscheid/bger_8C_158_2011</w:t>
      </w:r>
    </w:p>
    <w:p>
      <w:r>
        <w:t>FR: TF 8C_158/2011 du 13 mai 2011</w:t>
      </w:r>
    </w:p>
    <w:p>
      <w:r>
        <w:t>IT: TF 8C_158/2011 del 13 maggio 2011</w:t>
      </w:r>
    </w:p>
    <w:p>
      <w:pPr>
        <w:pStyle w:val="Heading2"/>
      </w:pPr>
      <w:r>
        <w:t>Volltext</w:t>
      </w:r>
    </w:p>
    <w:p>
      <w:r>
        <w:t>Bundesgericht</w:t>
      </w:r>
    </w:p>
    <w:p>
      <w:r>
        <w:t>Tribunal fédéral</w:t>
      </w:r>
    </w:p>
    <w:p>
      <w:r>
        <w:t>Tribunale federale</w:t>
      </w:r>
    </w:p>
    <w:p>
      <w:r>
        <w:t>Tribunal federal</w:t>
      </w:r>
    </w:p>
    <w:p>
      <w:r>
        <w:t>{T 0/2}</w:t>
      </w:r>
    </w:p>
    <w:p>
      <w:r>
        <w:t>8C_158/2011</w:t>
      </w:r>
    </w:p>
    <w:p>
      <w:r>
        <w:t>Urteil vom 13. Mai 2011</w:t>
      </w:r>
    </w:p>
    <w:p>
      <w:r>
        <w:t>I. sozialrechtliche Abteilung</w:t>
      </w:r>
    </w:p>
    <w:p>
      <w:r>
        <w:t>Besetzung</w:t>
      </w:r>
    </w:p>
    <w:p>
      <w:r>
        <w:t>Bundesrichter Ursprung, Präsident,</w:t>
      </w:r>
    </w:p>
    <w:p>
      <w:r>
        <w:t>Gerichtsschreiber Batz.</w:t>
      </w:r>
    </w:p>
    <w:p>
      <w:r>
        <w:t>Verfahrensbeteiligte</w:t>
      </w:r>
    </w:p>
    <w:p>
      <w:r>
        <w:t>B.________,</w:t>
      </w:r>
    </w:p>
    <w:p>
      <w:r>
        <w:t>vertreten durch Rechtsanwalt Diego Quinter,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Verwaltungsgerichts des Kantons Graubünden</w:t>
      </w:r>
    </w:p>
    <w:p>
      <w:r>
        <w:t>vom 14. Dezember 2010.</w:t>
      </w:r>
    </w:p>
    <w:p>
      <w:r>
        <w:t>Nach Einsicht</w:t>
      </w:r>
    </w:p>
    <w:p>
      <w:r>
        <w:t>in die Beschwerde vom 23. Februar 2011 (Poststempel) gegen den Entscheid des Verwaltungsgerichts des Kantons Graubünden, Kammer 2 als Versicherungsgericht, vom 14. Dezember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(vgl. BGE 136 I 65 E. 1.3.1 S.68 und 134 II 244 E. 2.1 S. 245 f. mit Hinweisen),</w:t>
      </w:r>
    </w:p>
    <w:p>
      <w:r>
        <w:t>dass die Beschwerde vom 23. Februar 2011 diesen gesetzlichen Begründungsanforderungen nicht genügt, da sie sich mit den für das Ergebnis des angefochtenen vorinstanzlichen Entscheids massgeblichen Erwägungen nicht in hinreichender Weise auseinandersetzt, wobei in diesem Zusammenhang zu berücksichtigen ist,</w:t>
      </w:r>
    </w:p>
    <w:p>
      <w:r>
        <w:t>dass sich die beim Bundesgericht eingereichte Rechtsschrift nur in wenigen untergeordneten Punkten von der Beschwerde, welche der Rechtsvertreter des Versicherten schon vor dem kantonalen Verwaltungsgericht eingereicht hat, unterscheidet ( BGE 134 II 244 E. 2.1 ff. S. 245 ff.) und die Begründung praktisch wörtlich der bereits vor dem erstinstanzlichen Gericht eingereichten Beschwerde entspricht,</w:t>
      </w:r>
    </w:p>
    <w:p>
      <w:r>
        <w:t>dass auch mit den am Schluss der Rechtsschrift eingefügten Ausführungen über die medizinischen Untersuchungen in Portugal und dem nachträglich beigebrachten Arztbericht vom 18. Februar 2011 nicht in konkreter und genügend substanziierter Weise dargelegt wird, inwiefern das kantonale Gericht eine Rechtsverletzung gemäss Art. 95 ff. BGG bzw. eine unrichtige oder unvollständige Sachverhaltsfeststellung im Sinne von Art. 97 BGG begangen haben sollte,</w:t>
      </w:r>
    </w:p>
    <w:p>
      <w:r>
        <w:t>dass demnach - ohne Ansetzung einer Nachfrist zur Verbesserung ( BGE 134 II 244 E. 2.4 S. 247) - auf die Beschwerde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Graubünden, Kammer 2 als Versicherungsgericht, und dem Bundesamt für Gesundheit schriftlich mitgeteilt.</w:t>
      </w:r>
    </w:p>
    <w:p>
      <w:r>
        <w:t>Luzern, 13. Mai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